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81505" w14:textId="77777777" w:rsidR="00BB3FB4" w:rsidRDefault="00BB3FB4" w:rsidP="00FC1587">
      <w:pPr>
        <w:pStyle w:val="Titre1"/>
        <w:jc w:val="center"/>
      </w:pPr>
    </w:p>
    <w:p w14:paraId="7F4B27B2" w14:textId="77777777" w:rsidR="00BB3FB4" w:rsidRDefault="00BB3FB4" w:rsidP="00FC1587">
      <w:pPr>
        <w:pStyle w:val="Titre1"/>
        <w:jc w:val="center"/>
      </w:pPr>
    </w:p>
    <w:p w14:paraId="013ED16D" w14:textId="77777777" w:rsidR="00BB3FB4" w:rsidRDefault="00BB3FB4" w:rsidP="00FC1587">
      <w:pPr>
        <w:pStyle w:val="Titre1"/>
        <w:jc w:val="center"/>
      </w:pPr>
    </w:p>
    <w:p w14:paraId="61F4FC84" w14:textId="77777777" w:rsidR="00230F5F" w:rsidRPr="00984241" w:rsidRDefault="005B248A" w:rsidP="00282433">
      <w:pPr>
        <w:ind w:right="-92"/>
        <w:rPr>
          <w:b/>
          <w:sz w:val="32"/>
          <w:szCs w:val="32"/>
        </w:rPr>
      </w:pPr>
      <w:r w:rsidRPr="00984241">
        <w:rPr>
          <w:b/>
          <w:sz w:val="32"/>
          <w:szCs w:val="32"/>
        </w:rPr>
        <w:t>Note de recherche sur</w:t>
      </w:r>
      <w:r w:rsidR="00DE00EB" w:rsidRPr="00984241">
        <w:rPr>
          <w:b/>
          <w:sz w:val="32"/>
          <w:szCs w:val="32"/>
        </w:rPr>
        <w:t xml:space="preserve"> l’apport de l’</w:t>
      </w:r>
      <w:r w:rsidR="00DB2ED1" w:rsidRPr="00984241">
        <w:rPr>
          <w:b/>
          <w:sz w:val="32"/>
          <w:szCs w:val="32"/>
        </w:rPr>
        <w:t xml:space="preserve">économie sociale et </w:t>
      </w:r>
      <w:r w:rsidR="00282433">
        <w:rPr>
          <w:b/>
          <w:sz w:val="32"/>
          <w:szCs w:val="32"/>
        </w:rPr>
        <w:t>s</w:t>
      </w:r>
      <w:r w:rsidR="00DB2ED1" w:rsidRPr="00984241">
        <w:rPr>
          <w:b/>
          <w:sz w:val="32"/>
          <w:szCs w:val="32"/>
        </w:rPr>
        <w:t>olidaire</w:t>
      </w:r>
      <w:r w:rsidR="00DE00EB" w:rsidRPr="00984241">
        <w:rPr>
          <w:b/>
          <w:sz w:val="32"/>
          <w:szCs w:val="32"/>
        </w:rPr>
        <w:t> dans</w:t>
      </w:r>
      <w:r w:rsidRPr="00984241">
        <w:rPr>
          <w:b/>
          <w:sz w:val="32"/>
          <w:szCs w:val="32"/>
        </w:rPr>
        <w:t xml:space="preserve"> l</w:t>
      </w:r>
      <w:r w:rsidR="00FC1587" w:rsidRPr="00984241">
        <w:rPr>
          <w:b/>
          <w:sz w:val="32"/>
          <w:szCs w:val="32"/>
        </w:rPr>
        <w:t>a</w:t>
      </w:r>
      <w:r w:rsidR="00336601" w:rsidRPr="00984241">
        <w:rPr>
          <w:b/>
          <w:sz w:val="32"/>
          <w:szCs w:val="32"/>
        </w:rPr>
        <w:t xml:space="preserve"> co-construction</w:t>
      </w:r>
      <w:r w:rsidR="00C147EB" w:rsidRPr="00984241">
        <w:rPr>
          <w:b/>
          <w:sz w:val="32"/>
          <w:szCs w:val="32"/>
        </w:rPr>
        <w:t xml:space="preserve"> démocratique</w:t>
      </w:r>
      <w:r w:rsidR="00336601" w:rsidRPr="00984241">
        <w:rPr>
          <w:b/>
          <w:sz w:val="32"/>
          <w:szCs w:val="32"/>
        </w:rPr>
        <w:t xml:space="preserve"> des politiques publiques: </w:t>
      </w:r>
      <w:r w:rsidR="0072125C" w:rsidRPr="00984241">
        <w:rPr>
          <w:b/>
          <w:sz w:val="32"/>
          <w:szCs w:val="32"/>
        </w:rPr>
        <w:t>réflexions</w:t>
      </w:r>
      <w:r w:rsidR="009C4E01" w:rsidRPr="00984241">
        <w:rPr>
          <w:b/>
          <w:sz w:val="32"/>
          <w:szCs w:val="32"/>
        </w:rPr>
        <w:t xml:space="preserve"> </w:t>
      </w:r>
      <w:r w:rsidR="008C4962" w:rsidRPr="00984241">
        <w:rPr>
          <w:b/>
          <w:sz w:val="32"/>
          <w:szCs w:val="32"/>
        </w:rPr>
        <w:t>ancré</w:t>
      </w:r>
      <w:r w:rsidR="0072125C" w:rsidRPr="00984241">
        <w:rPr>
          <w:b/>
          <w:sz w:val="32"/>
          <w:szCs w:val="32"/>
        </w:rPr>
        <w:t>e</w:t>
      </w:r>
      <w:r w:rsidR="00FC1587" w:rsidRPr="00984241">
        <w:rPr>
          <w:b/>
          <w:sz w:val="32"/>
          <w:szCs w:val="32"/>
        </w:rPr>
        <w:t>s</w:t>
      </w:r>
      <w:r w:rsidR="00C147EB" w:rsidRPr="00984241">
        <w:rPr>
          <w:b/>
          <w:sz w:val="32"/>
          <w:szCs w:val="32"/>
        </w:rPr>
        <w:t xml:space="preserve"> </w:t>
      </w:r>
      <w:r w:rsidR="00EC6B9F" w:rsidRPr="00984241">
        <w:rPr>
          <w:b/>
          <w:sz w:val="32"/>
          <w:szCs w:val="32"/>
        </w:rPr>
        <w:t>dans des expériences canadiennes</w:t>
      </w:r>
      <w:r w:rsidR="00F860AB" w:rsidRPr="00984241">
        <w:rPr>
          <w:b/>
          <w:sz w:val="32"/>
          <w:szCs w:val="32"/>
        </w:rPr>
        <w:t>, québécoises</w:t>
      </w:r>
      <w:r w:rsidR="00EC6B9F" w:rsidRPr="00984241">
        <w:rPr>
          <w:b/>
          <w:sz w:val="32"/>
          <w:szCs w:val="32"/>
        </w:rPr>
        <w:t xml:space="preserve"> et latino-américaines</w:t>
      </w:r>
    </w:p>
    <w:p w14:paraId="0E883D75" w14:textId="77777777" w:rsidR="00D76D78" w:rsidRDefault="00D76D78" w:rsidP="00D76D78"/>
    <w:p w14:paraId="1BAA66DB" w14:textId="77777777" w:rsidR="00D76D78" w:rsidRDefault="00D76D78" w:rsidP="00D76D78"/>
    <w:p w14:paraId="73389F9F" w14:textId="77777777" w:rsidR="00D76D78" w:rsidRDefault="00D76D78" w:rsidP="00D76D78"/>
    <w:p w14:paraId="5E507C37" w14:textId="77777777" w:rsidR="00D76D78" w:rsidRDefault="00D76D78" w:rsidP="00D76D78"/>
    <w:p w14:paraId="50BA21B9" w14:textId="77777777" w:rsidR="00D76D78" w:rsidRDefault="00D76D78" w:rsidP="00D76D78"/>
    <w:p w14:paraId="0FAC8496" w14:textId="77777777" w:rsidR="00F90ACA" w:rsidRDefault="00F90ACA" w:rsidP="00D76D78">
      <w:pPr>
        <w:pStyle w:val="Titre2"/>
        <w:jc w:val="center"/>
      </w:pPr>
    </w:p>
    <w:p w14:paraId="686721D1" w14:textId="77777777" w:rsidR="00F90ACA" w:rsidRDefault="00F90ACA" w:rsidP="00D76D78">
      <w:pPr>
        <w:pStyle w:val="Titre2"/>
        <w:jc w:val="center"/>
      </w:pPr>
    </w:p>
    <w:p w14:paraId="57893906" w14:textId="77777777" w:rsidR="00D76D78" w:rsidRPr="00984241" w:rsidRDefault="00A16BF0" w:rsidP="00984241">
      <w:pPr>
        <w:jc w:val="center"/>
        <w:rPr>
          <w:b/>
          <w:sz w:val="28"/>
          <w:szCs w:val="28"/>
        </w:rPr>
      </w:pPr>
      <w:bookmarkStart w:id="0" w:name="_Toc405126537"/>
      <w:r w:rsidRPr="00984241">
        <w:rPr>
          <w:b/>
          <w:sz w:val="28"/>
          <w:szCs w:val="28"/>
        </w:rPr>
        <w:t>Yves Vaillancourt</w:t>
      </w:r>
      <w:bookmarkEnd w:id="0"/>
    </w:p>
    <w:p w14:paraId="465D7CD0" w14:textId="77777777" w:rsidR="00A16BF0" w:rsidRPr="00984241" w:rsidRDefault="00A16BF0" w:rsidP="00984241">
      <w:pPr>
        <w:jc w:val="center"/>
        <w:rPr>
          <w:b/>
          <w:sz w:val="28"/>
          <w:szCs w:val="28"/>
        </w:rPr>
      </w:pPr>
    </w:p>
    <w:p w14:paraId="0B8A050B" w14:textId="77777777" w:rsidR="00A16BF0" w:rsidRPr="00984241" w:rsidRDefault="00A16BF0" w:rsidP="00984241">
      <w:pPr>
        <w:jc w:val="center"/>
        <w:rPr>
          <w:b/>
          <w:sz w:val="28"/>
          <w:szCs w:val="28"/>
        </w:rPr>
      </w:pPr>
    </w:p>
    <w:p w14:paraId="48F0236E" w14:textId="77777777" w:rsidR="00282433" w:rsidRDefault="00282433" w:rsidP="00984241">
      <w:pPr>
        <w:jc w:val="center"/>
        <w:rPr>
          <w:b/>
          <w:sz w:val="28"/>
          <w:szCs w:val="28"/>
        </w:rPr>
      </w:pPr>
      <w:bookmarkStart w:id="1" w:name="_Toc405126538"/>
    </w:p>
    <w:p w14:paraId="3F8C01C9" w14:textId="77777777" w:rsidR="00282433" w:rsidRDefault="00282433" w:rsidP="00984241">
      <w:pPr>
        <w:jc w:val="center"/>
        <w:rPr>
          <w:b/>
          <w:sz w:val="28"/>
          <w:szCs w:val="28"/>
        </w:rPr>
      </w:pPr>
    </w:p>
    <w:p w14:paraId="792D5927" w14:textId="77777777" w:rsidR="00282433" w:rsidRDefault="00282433" w:rsidP="00984241">
      <w:pPr>
        <w:jc w:val="center"/>
        <w:rPr>
          <w:b/>
          <w:sz w:val="28"/>
          <w:szCs w:val="28"/>
        </w:rPr>
      </w:pPr>
    </w:p>
    <w:p w14:paraId="5BC224E7" w14:textId="77777777" w:rsidR="00282433" w:rsidRDefault="00282433" w:rsidP="00984241">
      <w:pPr>
        <w:jc w:val="center"/>
        <w:rPr>
          <w:b/>
          <w:sz w:val="28"/>
          <w:szCs w:val="28"/>
        </w:rPr>
      </w:pPr>
    </w:p>
    <w:p w14:paraId="420E95F3" w14:textId="77777777" w:rsidR="00282433" w:rsidRDefault="00282433" w:rsidP="00984241">
      <w:pPr>
        <w:jc w:val="center"/>
        <w:rPr>
          <w:b/>
          <w:sz w:val="28"/>
          <w:szCs w:val="28"/>
        </w:rPr>
      </w:pPr>
    </w:p>
    <w:p w14:paraId="449B518F" w14:textId="77777777" w:rsidR="00282433" w:rsidRDefault="00282433" w:rsidP="00984241">
      <w:pPr>
        <w:jc w:val="center"/>
        <w:rPr>
          <w:b/>
          <w:sz w:val="28"/>
          <w:szCs w:val="28"/>
        </w:rPr>
      </w:pPr>
    </w:p>
    <w:p w14:paraId="1594C354" w14:textId="77777777" w:rsidR="00282433" w:rsidRDefault="00282433" w:rsidP="00984241">
      <w:pPr>
        <w:jc w:val="center"/>
        <w:rPr>
          <w:b/>
          <w:sz w:val="28"/>
          <w:szCs w:val="28"/>
        </w:rPr>
      </w:pPr>
    </w:p>
    <w:p w14:paraId="071621F8" w14:textId="77777777" w:rsidR="00282433" w:rsidRDefault="00282433" w:rsidP="00984241">
      <w:pPr>
        <w:jc w:val="center"/>
        <w:rPr>
          <w:b/>
          <w:sz w:val="28"/>
          <w:szCs w:val="28"/>
        </w:rPr>
      </w:pPr>
    </w:p>
    <w:p w14:paraId="7721E043" w14:textId="77777777" w:rsidR="00282433" w:rsidRDefault="00282433" w:rsidP="00984241">
      <w:pPr>
        <w:jc w:val="center"/>
        <w:rPr>
          <w:b/>
          <w:sz w:val="28"/>
          <w:szCs w:val="28"/>
        </w:rPr>
      </w:pPr>
    </w:p>
    <w:p w14:paraId="69A55AE1" w14:textId="77777777" w:rsidR="00282433" w:rsidRDefault="00282433" w:rsidP="00984241">
      <w:pPr>
        <w:jc w:val="center"/>
        <w:rPr>
          <w:b/>
          <w:sz w:val="28"/>
          <w:szCs w:val="28"/>
        </w:rPr>
      </w:pPr>
    </w:p>
    <w:p w14:paraId="079C635A" w14:textId="77777777" w:rsidR="009B257B" w:rsidRPr="00984241" w:rsidRDefault="00A16BF0" w:rsidP="00984241">
      <w:pPr>
        <w:jc w:val="center"/>
        <w:rPr>
          <w:b/>
          <w:sz w:val="28"/>
          <w:szCs w:val="28"/>
        </w:rPr>
      </w:pPr>
      <w:r w:rsidRPr="00984241">
        <w:rPr>
          <w:b/>
          <w:sz w:val="28"/>
          <w:szCs w:val="28"/>
        </w:rPr>
        <w:t>Déc</w:t>
      </w:r>
      <w:r w:rsidR="00206F25" w:rsidRPr="00984241">
        <w:rPr>
          <w:b/>
          <w:sz w:val="28"/>
          <w:szCs w:val="28"/>
        </w:rPr>
        <w:t>embre</w:t>
      </w:r>
      <w:r w:rsidR="009B257B" w:rsidRPr="00984241">
        <w:rPr>
          <w:b/>
          <w:sz w:val="28"/>
          <w:szCs w:val="28"/>
        </w:rPr>
        <w:t xml:space="preserve"> 2014</w:t>
      </w:r>
      <w:bookmarkEnd w:id="1"/>
    </w:p>
    <w:p w14:paraId="159C1F9B" w14:textId="77777777" w:rsidR="00BB3FB4" w:rsidRPr="00984241" w:rsidRDefault="00BB3FB4" w:rsidP="00984241">
      <w:pPr>
        <w:jc w:val="center"/>
        <w:rPr>
          <w:b/>
          <w:sz w:val="32"/>
          <w:szCs w:val="32"/>
        </w:rPr>
      </w:pPr>
    </w:p>
    <w:p w14:paraId="217541B8" w14:textId="77777777" w:rsidR="00BB3FB4" w:rsidRPr="00984241" w:rsidRDefault="00BB3FB4" w:rsidP="00984241">
      <w:pPr>
        <w:jc w:val="center"/>
        <w:rPr>
          <w:b/>
          <w:sz w:val="32"/>
          <w:szCs w:val="32"/>
        </w:rPr>
      </w:pPr>
    </w:p>
    <w:p w14:paraId="2A670377" w14:textId="77777777" w:rsidR="00BB3FB4" w:rsidRPr="00984241" w:rsidRDefault="00BB3FB4" w:rsidP="00984241">
      <w:pPr>
        <w:jc w:val="center"/>
        <w:rPr>
          <w:b/>
          <w:sz w:val="32"/>
          <w:szCs w:val="32"/>
        </w:rPr>
      </w:pPr>
    </w:p>
    <w:p w14:paraId="4CFCBAFB" w14:textId="77777777" w:rsidR="00BB3FB4" w:rsidRPr="00984241" w:rsidRDefault="00BB3FB4" w:rsidP="00984241">
      <w:pPr>
        <w:jc w:val="center"/>
        <w:rPr>
          <w:b/>
          <w:sz w:val="28"/>
          <w:szCs w:val="28"/>
        </w:rPr>
      </w:pPr>
      <w:r w:rsidRPr="00984241">
        <w:rPr>
          <w:b/>
          <w:sz w:val="28"/>
          <w:szCs w:val="28"/>
        </w:rPr>
        <w:t>Copublication du CRISES et du LAREPPS, UQAM</w:t>
      </w:r>
      <w:r w:rsidR="00FC052E" w:rsidRPr="00984241">
        <w:rPr>
          <w:b/>
          <w:sz w:val="28"/>
          <w:szCs w:val="28"/>
        </w:rPr>
        <w:t>, Montréal</w:t>
      </w:r>
    </w:p>
    <w:p w14:paraId="169E055B" w14:textId="77777777" w:rsidR="0074701C" w:rsidRDefault="0074701C" w:rsidP="00BB3FB4">
      <w:pPr>
        <w:jc w:val="center"/>
      </w:pPr>
    </w:p>
    <w:p w14:paraId="47402330" w14:textId="77777777" w:rsidR="00F90ACA" w:rsidRPr="00282433" w:rsidRDefault="0074701C" w:rsidP="00282433">
      <w:pPr>
        <w:pStyle w:val="Titre1"/>
        <w:rPr>
          <w:color w:val="auto"/>
        </w:rPr>
      </w:pPr>
      <w:r>
        <w:br w:type="page"/>
      </w:r>
      <w:bookmarkStart w:id="2" w:name="_Toc405129022"/>
      <w:r w:rsidR="00282433" w:rsidRPr="00282433">
        <w:rPr>
          <w:color w:val="auto"/>
        </w:rPr>
        <w:lastRenderedPageBreak/>
        <w:t>Note sur l’auteur</w:t>
      </w:r>
      <w:bookmarkEnd w:id="2"/>
    </w:p>
    <w:p w14:paraId="0292CBF2" w14:textId="77777777" w:rsidR="0074701C" w:rsidRDefault="0074701C" w:rsidP="0074701C"/>
    <w:p w14:paraId="54A6BEC8" w14:textId="77777777" w:rsidR="0074701C" w:rsidRDefault="0074701C" w:rsidP="0074701C"/>
    <w:p w14:paraId="1BF1DD85" w14:textId="77777777" w:rsidR="0000432C" w:rsidRDefault="0074701C" w:rsidP="0074701C">
      <w:r>
        <w:rPr>
          <w:b/>
        </w:rPr>
        <w:t xml:space="preserve">Yves VAILLANCOURT </w:t>
      </w:r>
      <w:r>
        <w:t xml:space="preserve">détient un doctorat en science politique. Il est professeur émérite à l’École de travail social de l’Université du Québec à Montréal (UQAM). Il est membre régulier du Centre de recherche sur les innovations sociales (CRISES) et du Laboratoire de recherche sur les pratiques et </w:t>
      </w:r>
      <w:r w:rsidR="0020418C">
        <w:t>les politiques sociales (LAREPPS). Il est cochercheur au sein de l’ARUC (Alliance de recherche université-communauté) sur la thématique « Pauvreté invalidante et citoyenneté habilitante ». Il est membre du Groupe d’économie solidaire du Québec (GESQ) et du Collectif pour le renouvellement de la social-démocratie.</w:t>
      </w:r>
    </w:p>
    <w:p w14:paraId="28CC0026" w14:textId="77777777" w:rsidR="0000432C" w:rsidRDefault="0000432C">
      <w:r>
        <w:br w:type="page"/>
      </w:r>
    </w:p>
    <w:p w14:paraId="352E7A90" w14:textId="77777777" w:rsidR="0074701C" w:rsidRDefault="0000432C" w:rsidP="00826526">
      <w:pPr>
        <w:pStyle w:val="Titre1"/>
        <w:jc w:val="center"/>
        <w:rPr>
          <w:color w:val="auto"/>
        </w:rPr>
      </w:pPr>
      <w:bookmarkStart w:id="3" w:name="_Toc405126540"/>
      <w:bookmarkStart w:id="4" w:name="_Toc405129023"/>
      <w:r w:rsidRPr="00826526">
        <w:rPr>
          <w:color w:val="auto"/>
        </w:rPr>
        <w:lastRenderedPageBreak/>
        <w:t>TABLE DES MATIÈRES</w:t>
      </w:r>
      <w:bookmarkEnd w:id="3"/>
      <w:bookmarkEnd w:id="4"/>
    </w:p>
    <w:p w14:paraId="5320A819" w14:textId="77777777" w:rsidR="00282433" w:rsidRDefault="00282433" w:rsidP="00282433"/>
    <w:p w14:paraId="26DDB35B" w14:textId="77777777" w:rsidR="00282433" w:rsidRPr="00282433" w:rsidRDefault="00282433" w:rsidP="00282433"/>
    <w:p w14:paraId="22366F98" w14:textId="77777777" w:rsidR="00826526" w:rsidRDefault="00826526"/>
    <w:sdt>
      <w:sdtPr>
        <w:id w:val="274552204"/>
        <w:docPartObj>
          <w:docPartGallery w:val="Table of Contents"/>
          <w:docPartUnique/>
        </w:docPartObj>
      </w:sdtPr>
      <w:sdtEndPr>
        <w:rPr>
          <w:lang w:val="fr-FR"/>
        </w:rPr>
      </w:sdtEndPr>
      <w:sdtContent>
        <w:p w14:paraId="1D63E347" w14:textId="77777777" w:rsidR="00041832" w:rsidRDefault="00282433">
          <w:pPr>
            <w:pStyle w:val="TM1"/>
            <w:tabs>
              <w:tab w:val="right" w:leader="dot" w:pos="9396"/>
            </w:tabs>
            <w:rPr>
              <w:noProof/>
              <w:sz w:val="22"/>
              <w:szCs w:val="22"/>
              <w:lang w:eastAsia="fr-CA"/>
            </w:rPr>
          </w:pPr>
          <w:r>
            <w:rPr>
              <w:lang w:val="fr-FR"/>
            </w:rPr>
            <w:fldChar w:fldCharType="begin"/>
          </w:r>
          <w:r>
            <w:rPr>
              <w:lang w:val="fr-FR"/>
            </w:rPr>
            <w:instrText xml:space="preserve"> TOC \o "1-3" \h \z \u </w:instrText>
          </w:r>
          <w:r>
            <w:rPr>
              <w:lang w:val="fr-FR"/>
            </w:rPr>
            <w:fldChar w:fldCharType="separate"/>
          </w:r>
          <w:hyperlink w:anchor="_Toc405129022" w:history="1">
            <w:r w:rsidR="00041832" w:rsidRPr="001D6F59">
              <w:rPr>
                <w:rStyle w:val="Lienhypertexte"/>
                <w:noProof/>
              </w:rPr>
              <w:t>Note sur l’auteur</w:t>
            </w:r>
            <w:r w:rsidR="00041832">
              <w:rPr>
                <w:noProof/>
                <w:webHidden/>
              </w:rPr>
              <w:tab/>
            </w:r>
            <w:r w:rsidR="00041832">
              <w:rPr>
                <w:noProof/>
                <w:webHidden/>
              </w:rPr>
              <w:fldChar w:fldCharType="begin"/>
            </w:r>
            <w:r w:rsidR="00041832">
              <w:rPr>
                <w:noProof/>
                <w:webHidden/>
              </w:rPr>
              <w:instrText xml:space="preserve"> PAGEREF _Toc405129022 \h </w:instrText>
            </w:r>
            <w:r w:rsidR="00041832">
              <w:rPr>
                <w:noProof/>
                <w:webHidden/>
              </w:rPr>
            </w:r>
            <w:r w:rsidR="00041832">
              <w:rPr>
                <w:noProof/>
                <w:webHidden/>
              </w:rPr>
              <w:fldChar w:fldCharType="separate"/>
            </w:r>
            <w:r w:rsidR="00136007">
              <w:rPr>
                <w:noProof/>
                <w:webHidden/>
              </w:rPr>
              <w:t>2</w:t>
            </w:r>
            <w:r w:rsidR="00041832">
              <w:rPr>
                <w:noProof/>
                <w:webHidden/>
              </w:rPr>
              <w:fldChar w:fldCharType="end"/>
            </w:r>
          </w:hyperlink>
          <w:r w:rsidR="00041832">
            <w:rPr>
              <w:rStyle w:val="Lienhypertexte"/>
              <w:noProof/>
            </w:rPr>
            <w:br/>
          </w:r>
        </w:p>
        <w:p w14:paraId="1C12D218" w14:textId="77777777" w:rsidR="00041832" w:rsidRDefault="00E744D6">
          <w:pPr>
            <w:pStyle w:val="TM1"/>
            <w:tabs>
              <w:tab w:val="right" w:leader="dot" w:pos="9396"/>
            </w:tabs>
            <w:rPr>
              <w:noProof/>
              <w:sz w:val="22"/>
              <w:szCs w:val="22"/>
              <w:lang w:eastAsia="fr-CA"/>
            </w:rPr>
          </w:pPr>
          <w:hyperlink w:anchor="_Toc405129023" w:history="1">
            <w:r w:rsidR="00041832" w:rsidRPr="001D6F59">
              <w:rPr>
                <w:rStyle w:val="Lienhypertexte"/>
                <w:noProof/>
              </w:rPr>
              <w:t>TABLE DES MATIÈRES</w:t>
            </w:r>
            <w:r w:rsidR="00041832">
              <w:rPr>
                <w:noProof/>
                <w:webHidden/>
              </w:rPr>
              <w:tab/>
            </w:r>
            <w:r w:rsidR="00041832">
              <w:rPr>
                <w:noProof/>
                <w:webHidden/>
              </w:rPr>
              <w:fldChar w:fldCharType="begin"/>
            </w:r>
            <w:r w:rsidR="00041832">
              <w:rPr>
                <w:noProof/>
                <w:webHidden/>
              </w:rPr>
              <w:instrText xml:space="preserve"> PAGEREF _Toc405129023 \h </w:instrText>
            </w:r>
            <w:r w:rsidR="00041832">
              <w:rPr>
                <w:noProof/>
                <w:webHidden/>
              </w:rPr>
            </w:r>
            <w:r w:rsidR="00041832">
              <w:rPr>
                <w:noProof/>
                <w:webHidden/>
              </w:rPr>
              <w:fldChar w:fldCharType="separate"/>
            </w:r>
            <w:r w:rsidR="00136007">
              <w:rPr>
                <w:noProof/>
                <w:webHidden/>
              </w:rPr>
              <w:t>3</w:t>
            </w:r>
            <w:r w:rsidR="00041832">
              <w:rPr>
                <w:noProof/>
                <w:webHidden/>
              </w:rPr>
              <w:fldChar w:fldCharType="end"/>
            </w:r>
          </w:hyperlink>
          <w:r w:rsidR="008D5DBE">
            <w:rPr>
              <w:rStyle w:val="Lienhypertexte"/>
              <w:noProof/>
            </w:rPr>
            <w:br/>
          </w:r>
        </w:p>
        <w:p w14:paraId="19129825" w14:textId="77777777" w:rsidR="00041832" w:rsidRDefault="00E744D6">
          <w:pPr>
            <w:pStyle w:val="TM1"/>
            <w:tabs>
              <w:tab w:val="right" w:leader="dot" w:pos="9396"/>
            </w:tabs>
            <w:rPr>
              <w:noProof/>
              <w:sz w:val="22"/>
              <w:szCs w:val="22"/>
              <w:lang w:eastAsia="fr-CA"/>
            </w:rPr>
          </w:pPr>
          <w:hyperlink w:anchor="_Toc405129024" w:history="1">
            <w:r w:rsidR="00041832" w:rsidRPr="001D6F59">
              <w:rPr>
                <w:rStyle w:val="Lienhypertexte"/>
                <w:noProof/>
              </w:rPr>
              <w:t>INTRODUCTION</w:t>
            </w:r>
            <w:r w:rsidR="00041832">
              <w:rPr>
                <w:noProof/>
                <w:webHidden/>
              </w:rPr>
              <w:tab/>
            </w:r>
            <w:r w:rsidR="00041832">
              <w:rPr>
                <w:noProof/>
                <w:webHidden/>
              </w:rPr>
              <w:fldChar w:fldCharType="begin"/>
            </w:r>
            <w:r w:rsidR="00041832">
              <w:rPr>
                <w:noProof/>
                <w:webHidden/>
              </w:rPr>
              <w:instrText xml:space="preserve"> PAGEREF _Toc405129024 \h </w:instrText>
            </w:r>
            <w:r w:rsidR="00041832">
              <w:rPr>
                <w:noProof/>
                <w:webHidden/>
              </w:rPr>
            </w:r>
            <w:r w:rsidR="00041832">
              <w:rPr>
                <w:noProof/>
                <w:webHidden/>
              </w:rPr>
              <w:fldChar w:fldCharType="separate"/>
            </w:r>
            <w:r w:rsidR="00136007">
              <w:rPr>
                <w:noProof/>
                <w:webHidden/>
              </w:rPr>
              <w:t>4</w:t>
            </w:r>
            <w:r w:rsidR="00041832">
              <w:rPr>
                <w:noProof/>
                <w:webHidden/>
              </w:rPr>
              <w:fldChar w:fldCharType="end"/>
            </w:r>
          </w:hyperlink>
          <w:r w:rsidR="008D5DBE">
            <w:rPr>
              <w:rStyle w:val="Lienhypertexte"/>
              <w:noProof/>
            </w:rPr>
            <w:br/>
          </w:r>
        </w:p>
        <w:p w14:paraId="79638A78" w14:textId="77777777" w:rsidR="00041832" w:rsidRDefault="00E744D6">
          <w:pPr>
            <w:pStyle w:val="TM1"/>
            <w:tabs>
              <w:tab w:val="right" w:leader="dot" w:pos="9396"/>
            </w:tabs>
            <w:rPr>
              <w:noProof/>
              <w:sz w:val="22"/>
              <w:szCs w:val="22"/>
              <w:lang w:eastAsia="fr-CA"/>
            </w:rPr>
          </w:pPr>
          <w:hyperlink w:anchor="_Toc405129025" w:history="1">
            <w:r w:rsidR="00041832" w:rsidRPr="001D6F59">
              <w:rPr>
                <w:rStyle w:val="Lienhypertexte"/>
                <w:noProof/>
              </w:rPr>
              <w:t>Partie 1  BALISES THÉORIQUES ET IMPLICATIONS POLITIQUES</w:t>
            </w:r>
            <w:r w:rsidR="00041832">
              <w:rPr>
                <w:noProof/>
                <w:webHidden/>
              </w:rPr>
              <w:tab/>
            </w:r>
            <w:r w:rsidR="00041832">
              <w:rPr>
                <w:noProof/>
                <w:webHidden/>
              </w:rPr>
              <w:fldChar w:fldCharType="begin"/>
            </w:r>
            <w:r w:rsidR="00041832">
              <w:rPr>
                <w:noProof/>
                <w:webHidden/>
              </w:rPr>
              <w:instrText xml:space="preserve"> PAGEREF _Toc405129025 \h </w:instrText>
            </w:r>
            <w:r w:rsidR="00041832">
              <w:rPr>
                <w:noProof/>
                <w:webHidden/>
              </w:rPr>
            </w:r>
            <w:r w:rsidR="00041832">
              <w:rPr>
                <w:noProof/>
                <w:webHidden/>
              </w:rPr>
              <w:fldChar w:fldCharType="separate"/>
            </w:r>
            <w:r w:rsidR="00136007">
              <w:rPr>
                <w:noProof/>
                <w:webHidden/>
              </w:rPr>
              <w:t>6</w:t>
            </w:r>
            <w:r w:rsidR="00041832">
              <w:rPr>
                <w:noProof/>
                <w:webHidden/>
              </w:rPr>
              <w:fldChar w:fldCharType="end"/>
            </w:r>
          </w:hyperlink>
          <w:r w:rsidR="008D5DBE">
            <w:rPr>
              <w:rStyle w:val="Lienhypertexte"/>
              <w:noProof/>
            </w:rPr>
            <w:br/>
          </w:r>
        </w:p>
        <w:p w14:paraId="7AC42549" w14:textId="77777777" w:rsidR="00041832" w:rsidRDefault="00E744D6">
          <w:pPr>
            <w:pStyle w:val="TM1"/>
            <w:tabs>
              <w:tab w:val="right" w:leader="dot" w:pos="9396"/>
            </w:tabs>
            <w:rPr>
              <w:noProof/>
              <w:sz w:val="22"/>
              <w:szCs w:val="22"/>
              <w:lang w:eastAsia="fr-CA"/>
            </w:rPr>
          </w:pPr>
          <w:hyperlink w:anchor="_Toc405129026" w:history="1">
            <w:r w:rsidR="00041832" w:rsidRPr="001D6F59">
              <w:rPr>
                <w:rStyle w:val="Lienhypertexte"/>
                <w:noProof/>
              </w:rPr>
              <w:t>Partie 2 ENSEIGNEMENTS TIRÉS DE DEUX EXPÉRIENCES CANADIENNES</w:t>
            </w:r>
            <w:r w:rsidR="00041832">
              <w:rPr>
                <w:noProof/>
                <w:webHidden/>
              </w:rPr>
              <w:tab/>
            </w:r>
            <w:r w:rsidR="00041832">
              <w:rPr>
                <w:noProof/>
                <w:webHidden/>
              </w:rPr>
              <w:fldChar w:fldCharType="begin"/>
            </w:r>
            <w:r w:rsidR="00041832">
              <w:rPr>
                <w:noProof/>
                <w:webHidden/>
              </w:rPr>
              <w:instrText xml:space="preserve"> PAGEREF _Toc405129026 \h </w:instrText>
            </w:r>
            <w:r w:rsidR="00041832">
              <w:rPr>
                <w:noProof/>
                <w:webHidden/>
              </w:rPr>
            </w:r>
            <w:r w:rsidR="00041832">
              <w:rPr>
                <w:noProof/>
                <w:webHidden/>
              </w:rPr>
              <w:fldChar w:fldCharType="separate"/>
            </w:r>
            <w:r w:rsidR="00136007">
              <w:rPr>
                <w:noProof/>
                <w:webHidden/>
              </w:rPr>
              <w:t>10</w:t>
            </w:r>
            <w:r w:rsidR="00041832">
              <w:rPr>
                <w:noProof/>
                <w:webHidden/>
              </w:rPr>
              <w:fldChar w:fldCharType="end"/>
            </w:r>
          </w:hyperlink>
          <w:r w:rsidR="008D5DBE">
            <w:rPr>
              <w:rStyle w:val="Lienhypertexte"/>
              <w:noProof/>
            </w:rPr>
            <w:br/>
          </w:r>
        </w:p>
        <w:p w14:paraId="51D75FEC" w14:textId="77777777" w:rsidR="00041832" w:rsidRDefault="00E744D6">
          <w:pPr>
            <w:pStyle w:val="TM1"/>
            <w:tabs>
              <w:tab w:val="right" w:leader="dot" w:pos="9396"/>
            </w:tabs>
            <w:rPr>
              <w:noProof/>
              <w:sz w:val="22"/>
              <w:szCs w:val="22"/>
              <w:lang w:eastAsia="fr-CA"/>
            </w:rPr>
          </w:pPr>
          <w:hyperlink w:anchor="_Toc405129027" w:history="1">
            <w:r w:rsidR="00041832" w:rsidRPr="001D6F59">
              <w:rPr>
                <w:rStyle w:val="Lienhypertexte"/>
                <w:noProof/>
              </w:rPr>
              <w:t>Partie 3 ENSEIGNEMENTS TIRÉS DE SIX EXPÉRIENCES QUÉBÉCOISES</w:t>
            </w:r>
            <w:r w:rsidR="00041832">
              <w:rPr>
                <w:noProof/>
                <w:webHidden/>
              </w:rPr>
              <w:tab/>
            </w:r>
            <w:r w:rsidR="00041832">
              <w:rPr>
                <w:noProof/>
                <w:webHidden/>
              </w:rPr>
              <w:fldChar w:fldCharType="begin"/>
            </w:r>
            <w:r w:rsidR="00041832">
              <w:rPr>
                <w:noProof/>
                <w:webHidden/>
              </w:rPr>
              <w:instrText xml:space="preserve"> PAGEREF _Toc405129027 \h </w:instrText>
            </w:r>
            <w:r w:rsidR="00041832">
              <w:rPr>
                <w:noProof/>
                <w:webHidden/>
              </w:rPr>
            </w:r>
            <w:r w:rsidR="00041832">
              <w:rPr>
                <w:noProof/>
                <w:webHidden/>
              </w:rPr>
              <w:fldChar w:fldCharType="separate"/>
            </w:r>
            <w:r w:rsidR="00136007">
              <w:rPr>
                <w:noProof/>
                <w:webHidden/>
              </w:rPr>
              <w:t>12</w:t>
            </w:r>
            <w:r w:rsidR="00041832">
              <w:rPr>
                <w:noProof/>
                <w:webHidden/>
              </w:rPr>
              <w:fldChar w:fldCharType="end"/>
            </w:r>
          </w:hyperlink>
          <w:r w:rsidR="008D5DBE">
            <w:rPr>
              <w:rStyle w:val="Lienhypertexte"/>
              <w:noProof/>
            </w:rPr>
            <w:br/>
          </w:r>
        </w:p>
        <w:p w14:paraId="4E87CB0F" w14:textId="77777777" w:rsidR="00041832" w:rsidRDefault="00E744D6">
          <w:pPr>
            <w:pStyle w:val="TM1"/>
            <w:tabs>
              <w:tab w:val="right" w:leader="dot" w:pos="9396"/>
            </w:tabs>
            <w:rPr>
              <w:noProof/>
              <w:sz w:val="22"/>
              <w:szCs w:val="22"/>
              <w:lang w:eastAsia="fr-CA"/>
            </w:rPr>
          </w:pPr>
          <w:hyperlink w:anchor="_Toc405129028" w:history="1">
            <w:r w:rsidR="00041832" w:rsidRPr="001D6F59">
              <w:rPr>
                <w:rStyle w:val="Lienhypertexte"/>
                <w:noProof/>
              </w:rPr>
              <w:t>Partie 4 ENSEIGNEMENTS TIRÉS D’EXPÉRIENCES LATINO-AMÉRICAINES</w:t>
            </w:r>
            <w:r w:rsidR="00041832">
              <w:rPr>
                <w:noProof/>
                <w:webHidden/>
              </w:rPr>
              <w:tab/>
            </w:r>
            <w:r w:rsidR="00041832">
              <w:rPr>
                <w:noProof/>
                <w:webHidden/>
              </w:rPr>
              <w:fldChar w:fldCharType="begin"/>
            </w:r>
            <w:r w:rsidR="00041832">
              <w:rPr>
                <w:noProof/>
                <w:webHidden/>
              </w:rPr>
              <w:instrText xml:space="preserve"> PAGEREF _Toc405129028 \h </w:instrText>
            </w:r>
            <w:r w:rsidR="00041832">
              <w:rPr>
                <w:noProof/>
                <w:webHidden/>
              </w:rPr>
            </w:r>
            <w:r w:rsidR="00041832">
              <w:rPr>
                <w:noProof/>
                <w:webHidden/>
              </w:rPr>
              <w:fldChar w:fldCharType="separate"/>
            </w:r>
            <w:r w:rsidR="00136007">
              <w:rPr>
                <w:noProof/>
                <w:webHidden/>
              </w:rPr>
              <w:t>15</w:t>
            </w:r>
            <w:r w:rsidR="00041832">
              <w:rPr>
                <w:noProof/>
                <w:webHidden/>
              </w:rPr>
              <w:fldChar w:fldCharType="end"/>
            </w:r>
          </w:hyperlink>
          <w:r w:rsidR="008D5DBE">
            <w:rPr>
              <w:rStyle w:val="Lienhypertexte"/>
              <w:noProof/>
            </w:rPr>
            <w:br/>
          </w:r>
        </w:p>
        <w:p w14:paraId="4A85CE9F" w14:textId="77777777" w:rsidR="00041832" w:rsidRDefault="00E744D6">
          <w:pPr>
            <w:pStyle w:val="TM2"/>
            <w:tabs>
              <w:tab w:val="right" w:leader="dot" w:pos="9396"/>
            </w:tabs>
            <w:rPr>
              <w:noProof/>
              <w:sz w:val="22"/>
              <w:szCs w:val="22"/>
              <w:lang w:eastAsia="fr-CA"/>
            </w:rPr>
          </w:pPr>
          <w:hyperlink w:anchor="_Toc405129029" w:history="1">
            <w:r w:rsidR="00041832" w:rsidRPr="001D6F59">
              <w:rPr>
                <w:rStyle w:val="Lienhypertexte"/>
                <w:noProof/>
              </w:rPr>
              <w:t>4.1 Impasse de la co-construction au Mexique</w:t>
            </w:r>
            <w:r w:rsidR="00041832">
              <w:rPr>
                <w:noProof/>
                <w:webHidden/>
              </w:rPr>
              <w:tab/>
            </w:r>
            <w:r w:rsidR="00041832">
              <w:rPr>
                <w:noProof/>
                <w:webHidden/>
              </w:rPr>
              <w:fldChar w:fldCharType="begin"/>
            </w:r>
            <w:r w:rsidR="00041832">
              <w:rPr>
                <w:noProof/>
                <w:webHidden/>
              </w:rPr>
              <w:instrText xml:space="preserve"> PAGEREF _Toc405129029 \h </w:instrText>
            </w:r>
            <w:r w:rsidR="00041832">
              <w:rPr>
                <w:noProof/>
                <w:webHidden/>
              </w:rPr>
            </w:r>
            <w:r w:rsidR="00041832">
              <w:rPr>
                <w:noProof/>
                <w:webHidden/>
              </w:rPr>
              <w:fldChar w:fldCharType="separate"/>
            </w:r>
            <w:r w:rsidR="00136007">
              <w:rPr>
                <w:noProof/>
                <w:webHidden/>
              </w:rPr>
              <w:t>16</w:t>
            </w:r>
            <w:r w:rsidR="00041832">
              <w:rPr>
                <w:noProof/>
                <w:webHidden/>
              </w:rPr>
              <w:fldChar w:fldCharType="end"/>
            </w:r>
          </w:hyperlink>
        </w:p>
        <w:p w14:paraId="0A54913E" w14:textId="77777777" w:rsidR="00041832" w:rsidRDefault="00E744D6">
          <w:pPr>
            <w:pStyle w:val="TM2"/>
            <w:tabs>
              <w:tab w:val="right" w:leader="dot" w:pos="9396"/>
            </w:tabs>
            <w:rPr>
              <w:noProof/>
              <w:sz w:val="22"/>
              <w:szCs w:val="22"/>
              <w:lang w:eastAsia="fr-CA"/>
            </w:rPr>
          </w:pPr>
          <w:hyperlink w:anchor="_Toc405129030" w:history="1">
            <w:r w:rsidR="00041832" w:rsidRPr="001D6F59">
              <w:rPr>
                <w:rStyle w:val="Lienhypertexte"/>
                <w:noProof/>
              </w:rPr>
              <w:t>4.2 Co-construction et budgets municipaux participatifs au Brésil</w:t>
            </w:r>
            <w:r w:rsidR="00041832">
              <w:rPr>
                <w:noProof/>
                <w:webHidden/>
              </w:rPr>
              <w:tab/>
            </w:r>
            <w:r w:rsidR="00041832">
              <w:rPr>
                <w:noProof/>
                <w:webHidden/>
              </w:rPr>
              <w:fldChar w:fldCharType="begin"/>
            </w:r>
            <w:r w:rsidR="00041832">
              <w:rPr>
                <w:noProof/>
                <w:webHidden/>
              </w:rPr>
              <w:instrText xml:space="preserve"> PAGEREF _Toc405129030 \h </w:instrText>
            </w:r>
            <w:r w:rsidR="00041832">
              <w:rPr>
                <w:noProof/>
                <w:webHidden/>
              </w:rPr>
            </w:r>
            <w:r w:rsidR="00041832">
              <w:rPr>
                <w:noProof/>
                <w:webHidden/>
              </w:rPr>
              <w:fldChar w:fldCharType="separate"/>
            </w:r>
            <w:r w:rsidR="00136007">
              <w:rPr>
                <w:noProof/>
                <w:webHidden/>
              </w:rPr>
              <w:t>19</w:t>
            </w:r>
            <w:r w:rsidR="00041832">
              <w:rPr>
                <w:noProof/>
                <w:webHidden/>
              </w:rPr>
              <w:fldChar w:fldCharType="end"/>
            </w:r>
          </w:hyperlink>
        </w:p>
        <w:p w14:paraId="6954A514" w14:textId="77777777" w:rsidR="00041832" w:rsidRDefault="00E744D6">
          <w:pPr>
            <w:pStyle w:val="TM2"/>
            <w:tabs>
              <w:tab w:val="right" w:leader="dot" w:pos="9396"/>
            </w:tabs>
            <w:rPr>
              <w:noProof/>
              <w:sz w:val="22"/>
              <w:szCs w:val="22"/>
              <w:lang w:eastAsia="fr-CA"/>
            </w:rPr>
          </w:pPr>
          <w:hyperlink w:anchor="_Toc405129031" w:history="1">
            <w:r w:rsidR="00041832" w:rsidRPr="001D6F59">
              <w:rPr>
                <w:rStyle w:val="Lienhypertexte"/>
                <w:noProof/>
              </w:rPr>
              <w:t>4.3 La co-construction au Venezuela, en Bolivie et en Équateur</w:t>
            </w:r>
            <w:r w:rsidR="00041832">
              <w:rPr>
                <w:noProof/>
                <w:webHidden/>
              </w:rPr>
              <w:tab/>
            </w:r>
            <w:r w:rsidR="00041832">
              <w:rPr>
                <w:noProof/>
                <w:webHidden/>
              </w:rPr>
              <w:fldChar w:fldCharType="begin"/>
            </w:r>
            <w:r w:rsidR="00041832">
              <w:rPr>
                <w:noProof/>
                <w:webHidden/>
              </w:rPr>
              <w:instrText xml:space="preserve"> PAGEREF _Toc405129031 \h </w:instrText>
            </w:r>
            <w:r w:rsidR="00041832">
              <w:rPr>
                <w:noProof/>
                <w:webHidden/>
              </w:rPr>
            </w:r>
            <w:r w:rsidR="00041832">
              <w:rPr>
                <w:noProof/>
                <w:webHidden/>
              </w:rPr>
              <w:fldChar w:fldCharType="separate"/>
            </w:r>
            <w:r w:rsidR="00136007">
              <w:rPr>
                <w:noProof/>
                <w:webHidden/>
              </w:rPr>
              <w:t>23</w:t>
            </w:r>
            <w:r w:rsidR="00041832">
              <w:rPr>
                <w:noProof/>
                <w:webHidden/>
              </w:rPr>
              <w:fldChar w:fldCharType="end"/>
            </w:r>
          </w:hyperlink>
        </w:p>
        <w:p w14:paraId="6F4DDAE3" w14:textId="77777777" w:rsidR="00041832" w:rsidRDefault="00E744D6">
          <w:pPr>
            <w:pStyle w:val="TM3"/>
            <w:tabs>
              <w:tab w:val="right" w:leader="dot" w:pos="9396"/>
            </w:tabs>
            <w:rPr>
              <w:noProof/>
              <w:sz w:val="22"/>
              <w:szCs w:val="22"/>
              <w:lang w:eastAsia="fr-CA"/>
            </w:rPr>
          </w:pPr>
          <w:hyperlink w:anchor="_Toc405129032" w:history="1">
            <w:r w:rsidR="00041832" w:rsidRPr="001D6F59">
              <w:rPr>
                <w:rStyle w:val="Lienhypertexte"/>
                <w:noProof/>
              </w:rPr>
              <w:t>4.3.1 Rompre avec le modèle néolibéral, ce n’est pas rien!</w:t>
            </w:r>
            <w:r w:rsidR="00041832">
              <w:rPr>
                <w:noProof/>
                <w:webHidden/>
              </w:rPr>
              <w:tab/>
            </w:r>
            <w:r w:rsidR="00041832">
              <w:rPr>
                <w:noProof/>
                <w:webHidden/>
              </w:rPr>
              <w:fldChar w:fldCharType="begin"/>
            </w:r>
            <w:r w:rsidR="00041832">
              <w:rPr>
                <w:noProof/>
                <w:webHidden/>
              </w:rPr>
              <w:instrText xml:space="preserve"> PAGEREF _Toc405129032 \h </w:instrText>
            </w:r>
            <w:r w:rsidR="00041832">
              <w:rPr>
                <w:noProof/>
                <w:webHidden/>
              </w:rPr>
            </w:r>
            <w:r w:rsidR="00041832">
              <w:rPr>
                <w:noProof/>
                <w:webHidden/>
              </w:rPr>
              <w:fldChar w:fldCharType="separate"/>
            </w:r>
            <w:r w:rsidR="00136007">
              <w:rPr>
                <w:noProof/>
                <w:webHidden/>
              </w:rPr>
              <w:t>24</w:t>
            </w:r>
            <w:r w:rsidR="00041832">
              <w:rPr>
                <w:noProof/>
                <w:webHidden/>
              </w:rPr>
              <w:fldChar w:fldCharType="end"/>
            </w:r>
          </w:hyperlink>
        </w:p>
        <w:p w14:paraId="18D32284" w14:textId="77777777" w:rsidR="00041832" w:rsidRDefault="00E744D6">
          <w:pPr>
            <w:pStyle w:val="TM3"/>
            <w:tabs>
              <w:tab w:val="right" w:leader="dot" w:pos="9396"/>
            </w:tabs>
            <w:rPr>
              <w:noProof/>
              <w:sz w:val="22"/>
              <w:szCs w:val="22"/>
              <w:lang w:eastAsia="fr-CA"/>
            </w:rPr>
          </w:pPr>
          <w:hyperlink w:anchor="_Toc405129033" w:history="1">
            <w:r w:rsidR="00041832" w:rsidRPr="001D6F59">
              <w:rPr>
                <w:rStyle w:val="Lienhypertexte"/>
                <w:noProof/>
              </w:rPr>
              <w:t>4.3.2 Les Assemblées constituantes : des temps fort de co-construction</w:t>
            </w:r>
            <w:r w:rsidR="00041832">
              <w:rPr>
                <w:noProof/>
                <w:webHidden/>
              </w:rPr>
              <w:tab/>
            </w:r>
            <w:r w:rsidR="00041832">
              <w:rPr>
                <w:noProof/>
                <w:webHidden/>
              </w:rPr>
              <w:fldChar w:fldCharType="begin"/>
            </w:r>
            <w:r w:rsidR="00041832">
              <w:rPr>
                <w:noProof/>
                <w:webHidden/>
              </w:rPr>
              <w:instrText xml:space="preserve"> PAGEREF _Toc405129033 \h </w:instrText>
            </w:r>
            <w:r w:rsidR="00041832">
              <w:rPr>
                <w:noProof/>
                <w:webHidden/>
              </w:rPr>
            </w:r>
            <w:r w:rsidR="00041832">
              <w:rPr>
                <w:noProof/>
                <w:webHidden/>
              </w:rPr>
              <w:fldChar w:fldCharType="separate"/>
            </w:r>
            <w:r w:rsidR="00136007">
              <w:rPr>
                <w:noProof/>
                <w:webHidden/>
              </w:rPr>
              <w:t>25</w:t>
            </w:r>
            <w:r w:rsidR="00041832">
              <w:rPr>
                <w:noProof/>
                <w:webHidden/>
              </w:rPr>
              <w:fldChar w:fldCharType="end"/>
            </w:r>
          </w:hyperlink>
        </w:p>
        <w:p w14:paraId="76DFD2BA" w14:textId="77777777" w:rsidR="00041832" w:rsidRDefault="00E744D6">
          <w:pPr>
            <w:pStyle w:val="TM3"/>
            <w:tabs>
              <w:tab w:val="right" w:leader="dot" w:pos="9396"/>
            </w:tabs>
            <w:rPr>
              <w:noProof/>
              <w:sz w:val="22"/>
              <w:szCs w:val="22"/>
              <w:lang w:eastAsia="fr-CA"/>
            </w:rPr>
          </w:pPr>
          <w:hyperlink w:anchor="_Toc405129034" w:history="1">
            <w:r w:rsidR="00041832" w:rsidRPr="001D6F59">
              <w:rPr>
                <w:rStyle w:val="Lienhypertexte"/>
                <w:noProof/>
              </w:rPr>
              <w:t>4.3.3 La polarisation au sein de la gauche freine la co-construction</w:t>
            </w:r>
            <w:r w:rsidR="00041832">
              <w:rPr>
                <w:noProof/>
                <w:webHidden/>
              </w:rPr>
              <w:tab/>
            </w:r>
            <w:r w:rsidR="00041832">
              <w:rPr>
                <w:noProof/>
                <w:webHidden/>
              </w:rPr>
              <w:fldChar w:fldCharType="begin"/>
            </w:r>
            <w:r w:rsidR="00041832">
              <w:rPr>
                <w:noProof/>
                <w:webHidden/>
              </w:rPr>
              <w:instrText xml:space="preserve"> PAGEREF _Toc405129034 \h </w:instrText>
            </w:r>
            <w:r w:rsidR="00041832">
              <w:rPr>
                <w:noProof/>
                <w:webHidden/>
              </w:rPr>
            </w:r>
            <w:r w:rsidR="00041832">
              <w:rPr>
                <w:noProof/>
                <w:webHidden/>
              </w:rPr>
              <w:fldChar w:fldCharType="separate"/>
            </w:r>
            <w:r w:rsidR="00136007">
              <w:rPr>
                <w:noProof/>
                <w:webHidden/>
              </w:rPr>
              <w:t>27</w:t>
            </w:r>
            <w:r w:rsidR="00041832">
              <w:rPr>
                <w:noProof/>
                <w:webHidden/>
              </w:rPr>
              <w:fldChar w:fldCharType="end"/>
            </w:r>
          </w:hyperlink>
        </w:p>
        <w:p w14:paraId="03A4334B" w14:textId="77777777" w:rsidR="00041832" w:rsidRDefault="00E744D6">
          <w:pPr>
            <w:pStyle w:val="TM3"/>
            <w:tabs>
              <w:tab w:val="right" w:leader="dot" w:pos="9396"/>
            </w:tabs>
            <w:rPr>
              <w:noProof/>
              <w:sz w:val="22"/>
              <w:szCs w:val="22"/>
              <w:lang w:eastAsia="fr-CA"/>
            </w:rPr>
          </w:pPr>
          <w:hyperlink w:anchor="_Toc405129035" w:history="1">
            <w:r w:rsidR="00041832" w:rsidRPr="001D6F59">
              <w:rPr>
                <w:rStyle w:val="Lienhypertexte"/>
                <w:noProof/>
              </w:rPr>
              <w:t>4.3.4 La gauche anarchiste s’intéresse peu à la co-construction</w:t>
            </w:r>
            <w:r w:rsidR="00041832">
              <w:rPr>
                <w:noProof/>
                <w:webHidden/>
              </w:rPr>
              <w:tab/>
            </w:r>
            <w:r w:rsidR="00041832">
              <w:rPr>
                <w:noProof/>
                <w:webHidden/>
              </w:rPr>
              <w:fldChar w:fldCharType="begin"/>
            </w:r>
            <w:r w:rsidR="00041832">
              <w:rPr>
                <w:noProof/>
                <w:webHidden/>
              </w:rPr>
              <w:instrText xml:space="preserve"> PAGEREF _Toc405129035 \h </w:instrText>
            </w:r>
            <w:r w:rsidR="00041832">
              <w:rPr>
                <w:noProof/>
                <w:webHidden/>
              </w:rPr>
            </w:r>
            <w:r w:rsidR="00041832">
              <w:rPr>
                <w:noProof/>
                <w:webHidden/>
              </w:rPr>
              <w:fldChar w:fldCharType="separate"/>
            </w:r>
            <w:r w:rsidR="00136007">
              <w:rPr>
                <w:noProof/>
                <w:webHidden/>
              </w:rPr>
              <w:t>33</w:t>
            </w:r>
            <w:r w:rsidR="00041832">
              <w:rPr>
                <w:noProof/>
                <w:webHidden/>
              </w:rPr>
              <w:fldChar w:fldCharType="end"/>
            </w:r>
          </w:hyperlink>
          <w:r w:rsidR="008D5DBE">
            <w:rPr>
              <w:rStyle w:val="Lienhypertexte"/>
              <w:noProof/>
            </w:rPr>
            <w:br/>
          </w:r>
        </w:p>
        <w:p w14:paraId="4D507254" w14:textId="77777777" w:rsidR="00041832" w:rsidRDefault="00E744D6">
          <w:pPr>
            <w:pStyle w:val="TM2"/>
            <w:tabs>
              <w:tab w:val="right" w:leader="dot" w:pos="9396"/>
            </w:tabs>
            <w:rPr>
              <w:noProof/>
              <w:sz w:val="22"/>
              <w:szCs w:val="22"/>
              <w:lang w:eastAsia="fr-CA"/>
            </w:rPr>
          </w:pPr>
          <w:hyperlink w:anchor="_Toc405129036" w:history="1">
            <w:r w:rsidR="00041832" w:rsidRPr="001D6F59">
              <w:rPr>
                <w:rStyle w:val="Lienhypertexte"/>
                <w:noProof/>
              </w:rPr>
              <w:t>4.4 Une fenêtre d’opportunité s’ouvre au Chili : le débat sur l’Assemblée constituante</w:t>
            </w:r>
            <w:r w:rsidR="00041832">
              <w:rPr>
                <w:noProof/>
                <w:webHidden/>
              </w:rPr>
              <w:tab/>
            </w:r>
            <w:r w:rsidR="00041832">
              <w:rPr>
                <w:noProof/>
                <w:webHidden/>
              </w:rPr>
              <w:fldChar w:fldCharType="begin"/>
            </w:r>
            <w:r w:rsidR="00041832">
              <w:rPr>
                <w:noProof/>
                <w:webHidden/>
              </w:rPr>
              <w:instrText xml:space="preserve"> PAGEREF _Toc405129036 \h </w:instrText>
            </w:r>
            <w:r w:rsidR="00041832">
              <w:rPr>
                <w:noProof/>
                <w:webHidden/>
              </w:rPr>
            </w:r>
            <w:r w:rsidR="00041832">
              <w:rPr>
                <w:noProof/>
                <w:webHidden/>
              </w:rPr>
              <w:fldChar w:fldCharType="separate"/>
            </w:r>
            <w:r w:rsidR="00136007">
              <w:rPr>
                <w:noProof/>
                <w:webHidden/>
              </w:rPr>
              <w:t>35</w:t>
            </w:r>
            <w:r w:rsidR="00041832">
              <w:rPr>
                <w:noProof/>
                <w:webHidden/>
              </w:rPr>
              <w:fldChar w:fldCharType="end"/>
            </w:r>
          </w:hyperlink>
          <w:r w:rsidR="008D5DBE">
            <w:rPr>
              <w:rStyle w:val="Lienhypertexte"/>
              <w:noProof/>
            </w:rPr>
            <w:br/>
          </w:r>
        </w:p>
        <w:p w14:paraId="223ECF31" w14:textId="77777777" w:rsidR="00041832" w:rsidRDefault="00E744D6">
          <w:pPr>
            <w:pStyle w:val="TM1"/>
            <w:tabs>
              <w:tab w:val="right" w:leader="dot" w:pos="9396"/>
            </w:tabs>
            <w:rPr>
              <w:noProof/>
              <w:sz w:val="22"/>
              <w:szCs w:val="22"/>
              <w:lang w:eastAsia="fr-CA"/>
            </w:rPr>
          </w:pPr>
          <w:hyperlink w:anchor="_Toc405129037" w:history="1">
            <w:r w:rsidR="00041832" w:rsidRPr="001D6F59">
              <w:rPr>
                <w:rStyle w:val="Lienhypertexte"/>
                <w:noProof/>
              </w:rPr>
              <w:t>CONCLUSION</w:t>
            </w:r>
            <w:r w:rsidR="00041832">
              <w:rPr>
                <w:noProof/>
                <w:webHidden/>
              </w:rPr>
              <w:tab/>
            </w:r>
            <w:r w:rsidR="00041832">
              <w:rPr>
                <w:noProof/>
                <w:webHidden/>
              </w:rPr>
              <w:fldChar w:fldCharType="begin"/>
            </w:r>
            <w:r w:rsidR="00041832">
              <w:rPr>
                <w:noProof/>
                <w:webHidden/>
              </w:rPr>
              <w:instrText xml:space="preserve"> PAGEREF _Toc405129037 \h </w:instrText>
            </w:r>
            <w:r w:rsidR="00041832">
              <w:rPr>
                <w:noProof/>
                <w:webHidden/>
              </w:rPr>
            </w:r>
            <w:r w:rsidR="00041832">
              <w:rPr>
                <w:noProof/>
                <w:webHidden/>
              </w:rPr>
              <w:fldChar w:fldCharType="separate"/>
            </w:r>
            <w:r w:rsidR="00136007">
              <w:rPr>
                <w:noProof/>
                <w:webHidden/>
              </w:rPr>
              <w:t>43</w:t>
            </w:r>
            <w:r w:rsidR="00041832">
              <w:rPr>
                <w:noProof/>
                <w:webHidden/>
              </w:rPr>
              <w:fldChar w:fldCharType="end"/>
            </w:r>
          </w:hyperlink>
          <w:r w:rsidR="008D5DBE">
            <w:rPr>
              <w:rStyle w:val="Lienhypertexte"/>
              <w:noProof/>
            </w:rPr>
            <w:br/>
          </w:r>
        </w:p>
        <w:p w14:paraId="5E9F5A00" w14:textId="77777777" w:rsidR="00041832" w:rsidRDefault="00E744D6">
          <w:pPr>
            <w:pStyle w:val="TM1"/>
            <w:tabs>
              <w:tab w:val="right" w:leader="dot" w:pos="9396"/>
            </w:tabs>
            <w:rPr>
              <w:noProof/>
              <w:sz w:val="22"/>
              <w:szCs w:val="22"/>
              <w:lang w:eastAsia="fr-CA"/>
            </w:rPr>
          </w:pPr>
          <w:hyperlink w:anchor="_Toc405129038" w:history="1">
            <w:r w:rsidR="00041832" w:rsidRPr="001D6F59">
              <w:rPr>
                <w:rStyle w:val="Lienhypertexte"/>
                <w:noProof/>
                <w:lang w:val="en-CA"/>
              </w:rPr>
              <w:t>BIBLIOGRAPHIE</w:t>
            </w:r>
            <w:r w:rsidR="00041832">
              <w:rPr>
                <w:noProof/>
                <w:webHidden/>
              </w:rPr>
              <w:tab/>
            </w:r>
            <w:r w:rsidR="00041832">
              <w:rPr>
                <w:noProof/>
                <w:webHidden/>
              </w:rPr>
              <w:fldChar w:fldCharType="begin"/>
            </w:r>
            <w:r w:rsidR="00041832">
              <w:rPr>
                <w:noProof/>
                <w:webHidden/>
              </w:rPr>
              <w:instrText xml:space="preserve"> PAGEREF _Toc405129038 \h </w:instrText>
            </w:r>
            <w:r w:rsidR="00041832">
              <w:rPr>
                <w:noProof/>
                <w:webHidden/>
              </w:rPr>
            </w:r>
            <w:r w:rsidR="00041832">
              <w:rPr>
                <w:noProof/>
                <w:webHidden/>
              </w:rPr>
              <w:fldChar w:fldCharType="separate"/>
            </w:r>
            <w:r w:rsidR="00136007">
              <w:rPr>
                <w:noProof/>
                <w:webHidden/>
              </w:rPr>
              <w:t>47</w:t>
            </w:r>
            <w:r w:rsidR="00041832">
              <w:rPr>
                <w:noProof/>
                <w:webHidden/>
              </w:rPr>
              <w:fldChar w:fldCharType="end"/>
            </w:r>
          </w:hyperlink>
        </w:p>
        <w:p w14:paraId="224C8B9E" w14:textId="77777777" w:rsidR="00282433" w:rsidRDefault="00282433">
          <w:pPr>
            <w:rPr>
              <w:lang w:val="fr-FR"/>
            </w:rPr>
          </w:pPr>
          <w:r>
            <w:rPr>
              <w:lang w:val="fr-FR"/>
            </w:rPr>
            <w:fldChar w:fldCharType="end"/>
          </w:r>
        </w:p>
      </w:sdtContent>
    </w:sdt>
    <w:p w14:paraId="6D94E92A" w14:textId="77777777" w:rsidR="00CC409A" w:rsidRDefault="00CC409A">
      <w:pPr>
        <w:rPr>
          <w:rFonts w:asciiTheme="majorHAnsi" w:eastAsiaTheme="majorEastAsia" w:hAnsiTheme="majorHAnsi" w:cstheme="majorBidi"/>
          <w:b/>
          <w:bCs/>
          <w:color w:val="4F81BD" w:themeColor="accent1"/>
          <w:sz w:val="26"/>
          <w:szCs w:val="26"/>
        </w:rPr>
      </w:pPr>
      <w:r>
        <w:br w:type="page"/>
      </w:r>
    </w:p>
    <w:p w14:paraId="04C1D604" w14:textId="77777777" w:rsidR="00435BAF" w:rsidRPr="008D5DBE" w:rsidRDefault="008500C1" w:rsidP="002F42C4">
      <w:pPr>
        <w:pStyle w:val="Titre1"/>
        <w:spacing w:before="360"/>
        <w:rPr>
          <w:rFonts w:asciiTheme="minorHAnsi" w:hAnsiTheme="minorHAnsi"/>
          <w:b w:val="0"/>
          <w:color w:val="auto"/>
          <w:sz w:val="24"/>
          <w:szCs w:val="24"/>
        </w:rPr>
      </w:pPr>
      <w:bookmarkStart w:id="5" w:name="_Toc405126541"/>
      <w:bookmarkStart w:id="6" w:name="_Toc405129024"/>
      <w:r w:rsidRPr="00826526">
        <w:rPr>
          <w:color w:val="auto"/>
        </w:rPr>
        <w:lastRenderedPageBreak/>
        <w:t>INTRODUCTION</w:t>
      </w:r>
      <w:r w:rsidR="005205F2" w:rsidRPr="00826526">
        <w:rPr>
          <w:rStyle w:val="Marquenotebasdepage"/>
          <w:color w:val="auto"/>
        </w:rPr>
        <w:footnoteReference w:id="1"/>
      </w:r>
      <w:bookmarkEnd w:id="5"/>
      <w:bookmarkEnd w:id="6"/>
      <w:r w:rsidR="008D5DBE">
        <w:rPr>
          <w:color w:val="auto"/>
        </w:rPr>
        <w:br/>
      </w:r>
      <w:r w:rsidR="00E5399D" w:rsidRPr="008D5DBE">
        <w:rPr>
          <w:rFonts w:asciiTheme="minorHAnsi" w:hAnsiTheme="minorHAnsi"/>
          <w:b w:val="0"/>
          <w:color w:val="auto"/>
          <w:sz w:val="24"/>
          <w:szCs w:val="24"/>
        </w:rPr>
        <w:t xml:space="preserve">Ces dernières années, nous nous sommes intéressé au concept de co-construction </w:t>
      </w:r>
      <w:r w:rsidR="001243DA" w:rsidRPr="008D5DBE">
        <w:rPr>
          <w:rFonts w:asciiTheme="minorHAnsi" w:hAnsiTheme="minorHAnsi"/>
          <w:b w:val="0"/>
          <w:color w:val="auto"/>
          <w:sz w:val="24"/>
          <w:szCs w:val="24"/>
        </w:rPr>
        <w:t>des politiques publiques</w:t>
      </w:r>
      <w:r w:rsidR="00435BAF" w:rsidRPr="008D5DBE">
        <w:rPr>
          <w:rFonts w:asciiTheme="minorHAnsi" w:hAnsiTheme="minorHAnsi"/>
          <w:b w:val="0"/>
          <w:color w:val="auto"/>
          <w:sz w:val="24"/>
          <w:szCs w:val="24"/>
        </w:rPr>
        <w:t xml:space="preserve">, en définissant cette dernière comme étant une élaboration de politique publique à laquelle participent </w:t>
      </w:r>
      <w:r w:rsidR="001243DA" w:rsidRPr="008D5DBE">
        <w:rPr>
          <w:rFonts w:asciiTheme="minorHAnsi" w:hAnsiTheme="minorHAnsi"/>
          <w:b w:val="0"/>
          <w:color w:val="auto"/>
          <w:sz w:val="24"/>
          <w:szCs w:val="24"/>
        </w:rPr>
        <w:t xml:space="preserve">non seulement </w:t>
      </w:r>
      <w:r w:rsidR="00435BAF" w:rsidRPr="008D5DBE">
        <w:rPr>
          <w:rFonts w:asciiTheme="minorHAnsi" w:hAnsiTheme="minorHAnsi"/>
          <w:b w:val="0"/>
          <w:color w:val="auto"/>
          <w:sz w:val="24"/>
          <w:szCs w:val="24"/>
        </w:rPr>
        <w:t xml:space="preserve">des </w:t>
      </w:r>
      <w:r w:rsidR="001243DA" w:rsidRPr="008D5DBE">
        <w:rPr>
          <w:rFonts w:asciiTheme="minorHAnsi" w:hAnsiTheme="minorHAnsi"/>
          <w:b w:val="0"/>
          <w:color w:val="auto"/>
          <w:sz w:val="24"/>
          <w:szCs w:val="24"/>
        </w:rPr>
        <w:t>élus</w:t>
      </w:r>
      <w:r w:rsidR="00435BAF" w:rsidRPr="008D5DBE">
        <w:rPr>
          <w:rFonts w:asciiTheme="minorHAnsi" w:hAnsiTheme="minorHAnsi"/>
          <w:b w:val="0"/>
          <w:color w:val="auto"/>
          <w:sz w:val="24"/>
          <w:szCs w:val="24"/>
        </w:rPr>
        <w:t xml:space="preserve"> de la société politique</w:t>
      </w:r>
      <w:r w:rsidR="001243DA" w:rsidRPr="008D5DBE">
        <w:rPr>
          <w:rFonts w:asciiTheme="minorHAnsi" w:hAnsiTheme="minorHAnsi"/>
          <w:b w:val="0"/>
          <w:color w:val="auto"/>
          <w:sz w:val="24"/>
          <w:szCs w:val="24"/>
        </w:rPr>
        <w:t>, ce qui est plus conventionnel, mais</w:t>
      </w:r>
      <w:r w:rsidR="00435BAF" w:rsidRPr="008D5DBE">
        <w:rPr>
          <w:rFonts w:asciiTheme="minorHAnsi" w:hAnsiTheme="minorHAnsi"/>
          <w:b w:val="0"/>
          <w:color w:val="auto"/>
          <w:sz w:val="24"/>
          <w:szCs w:val="24"/>
        </w:rPr>
        <w:t xml:space="preserve"> </w:t>
      </w:r>
      <w:r w:rsidR="001243DA" w:rsidRPr="008D5DBE">
        <w:rPr>
          <w:rFonts w:asciiTheme="minorHAnsi" w:hAnsiTheme="minorHAnsi"/>
          <w:b w:val="0"/>
          <w:color w:val="auto"/>
          <w:sz w:val="24"/>
          <w:szCs w:val="24"/>
        </w:rPr>
        <w:t xml:space="preserve">aussi des acteurs </w:t>
      </w:r>
      <w:r w:rsidR="00435BAF" w:rsidRPr="008D5DBE">
        <w:rPr>
          <w:rFonts w:asciiTheme="minorHAnsi" w:hAnsiTheme="minorHAnsi"/>
          <w:b w:val="0"/>
          <w:color w:val="auto"/>
          <w:sz w:val="24"/>
          <w:szCs w:val="24"/>
        </w:rPr>
        <w:t>de la société civile</w:t>
      </w:r>
      <w:r w:rsidR="00DB4452" w:rsidRPr="008D5DBE">
        <w:rPr>
          <w:rFonts w:asciiTheme="minorHAnsi" w:hAnsiTheme="minorHAnsi"/>
          <w:b w:val="0"/>
          <w:color w:val="auto"/>
          <w:sz w:val="24"/>
          <w:szCs w:val="24"/>
        </w:rPr>
        <w:t>, ce qui l’est moins</w:t>
      </w:r>
      <w:r w:rsidR="00435BAF" w:rsidRPr="008D5DBE">
        <w:rPr>
          <w:rFonts w:asciiTheme="minorHAnsi" w:hAnsiTheme="minorHAnsi"/>
          <w:b w:val="0"/>
          <w:color w:val="auto"/>
          <w:sz w:val="24"/>
          <w:szCs w:val="24"/>
        </w:rPr>
        <w:t xml:space="preserve">. </w:t>
      </w:r>
    </w:p>
    <w:p w14:paraId="1B3BFE58" w14:textId="77777777" w:rsidR="00435BAF" w:rsidRDefault="00435BAF" w:rsidP="00E5399D"/>
    <w:p w14:paraId="679933DC" w14:textId="77777777" w:rsidR="001243DA" w:rsidRDefault="00435BAF" w:rsidP="00E5399D">
      <w:r>
        <w:t>Nous avons commencé à travailler sur cette thématique en 2006,</w:t>
      </w:r>
      <w:r w:rsidR="00E5399D">
        <w:t xml:space="preserve"> après avoir reçu une invitation des collègues du CRISES (Centre de recherche sur les innovations sociales) à produire </w:t>
      </w:r>
      <w:r w:rsidR="00DB2ED1" w:rsidRPr="007D2CC6">
        <w:t>un</w:t>
      </w:r>
      <w:r w:rsidR="00DB2ED1">
        <w:t xml:space="preserve"> </w:t>
      </w:r>
      <w:r>
        <w:t>chapitre de livre sur le sujet</w:t>
      </w:r>
      <w:r w:rsidR="00E5399D">
        <w:rPr>
          <w:rStyle w:val="Marquenotebasdepage"/>
        </w:rPr>
        <w:footnoteReference w:id="2"/>
      </w:r>
      <w:r w:rsidR="00E5399D">
        <w:t xml:space="preserve">. Depuis ce temps, nous avons eu l’occasion </w:t>
      </w:r>
      <w:r w:rsidR="00E5399D" w:rsidRPr="00C475A4">
        <w:t>de faire plusieurs communications</w:t>
      </w:r>
      <w:r w:rsidR="00E5399D">
        <w:t xml:space="preserve"> et de publier une diversité de textes sur ce thème</w:t>
      </w:r>
      <w:r w:rsidR="001243DA">
        <w:t>, les uns de nature plus théorique, les autres de nature plus empirique</w:t>
      </w:r>
      <w:r w:rsidR="00E5399D">
        <w:t xml:space="preserve">. </w:t>
      </w:r>
      <w:r w:rsidR="00696D6F">
        <w:t>Dans nos écrits et interventions, nous avons constamment été amené à réfléchir en lien avec trois questions. Premièrement, y a-t-il de la co-construction de politiques publiques? Deuxièmement, s’il y a co-construction, est-ce qu’elle est démocratique? Troisièmement, est-ce que les acteurs de l’économie sociale e</w:t>
      </w:r>
      <w:r w:rsidR="00DB2ED1">
        <w:t>t solidaire (ESS) y participent</w:t>
      </w:r>
      <w:r w:rsidR="00DB2ED1" w:rsidRPr="00EB3A71">
        <w:t>?</w:t>
      </w:r>
    </w:p>
    <w:p w14:paraId="7B675A1B" w14:textId="77777777" w:rsidR="001243DA" w:rsidRDefault="001243DA" w:rsidP="00E5399D"/>
    <w:p w14:paraId="46F8C02F" w14:textId="77777777" w:rsidR="00E5399D" w:rsidRDefault="00696D6F" w:rsidP="00E5399D">
      <w:r>
        <w:t>En travaillant sur ces questions liées à la co-construction des politiques</w:t>
      </w:r>
      <w:r w:rsidR="00E5399D">
        <w:t xml:space="preserve">, nous avons eu l’occasion de constater, notamment en France, que </w:t>
      </w:r>
      <w:r>
        <w:t>certains</w:t>
      </w:r>
      <w:r w:rsidR="00E5399D">
        <w:t xml:space="preserve"> chercheurs et acteurs sociopolitiques attachés à  l’État jacobin pouvaient se montrer perplexes devant l’</w:t>
      </w:r>
      <w:r>
        <w:t>utilisation</w:t>
      </w:r>
      <w:r w:rsidR="00E5399D">
        <w:t xml:space="preserve"> </w:t>
      </w:r>
      <w:r>
        <w:t>de l’expression « co-construction des politiques publiques »</w:t>
      </w:r>
      <w:r w:rsidR="00E5399D">
        <w:t xml:space="preserve">. Une telle perplexité </w:t>
      </w:r>
      <w:r w:rsidR="00E5399D" w:rsidRPr="00EB3A71">
        <w:t>prov</w:t>
      </w:r>
      <w:r w:rsidR="00DB2ED1" w:rsidRPr="00EB3A71">
        <w:t>ient</w:t>
      </w:r>
      <w:r w:rsidR="00DB2ED1">
        <w:t xml:space="preserve"> </w:t>
      </w:r>
      <w:r w:rsidR="00E5399D">
        <w:t>du fait qu’à leurs yeux la construction des politiques publiques appartenait aux seules personnes détenant des mandats d’</w:t>
      </w:r>
      <w:r w:rsidR="00E5399D" w:rsidRPr="00C475A4">
        <w:t>élus</w:t>
      </w:r>
      <w:r w:rsidR="00E5399D">
        <w:t xml:space="preserve"> politiques et ne pouvait donc pas être une prérogative partagée avec des acteurs de la société civile dont ceux de</w:t>
      </w:r>
      <w:r w:rsidR="00C475A4">
        <w:t xml:space="preserve"> </w:t>
      </w:r>
      <w:r>
        <w:t>l’ESS</w:t>
      </w:r>
      <w:r w:rsidR="00C475A4" w:rsidRPr="00A63A74">
        <w:t>.</w:t>
      </w:r>
      <w:r w:rsidR="00E5399D">
        <w:t xml:space="preserve"> En conséquence, les personnes pourvues d’une sensibilité jacobine accepteront de s’intéresser à la thématique de la participation citoyenne, mais à condition que </w:t>
      </w:r>
      <w:r w:rsidR="00E5399D" w:rsidRPr="00A63A74">
        <w:t>cette dernière</w:t>
      </w:r>
      <w:r w:rsidR="00E5399D">
        <w:t xml:space="preserve"> reste confinée à des activités de consultation et ne pénètre pas dans les processus décisionnels en matière de politique publique.   </w:t>
      </w:r>
    </w:p>
    <w:p w14:paraId="4FF1A703" w14:textId="77777777" w:rsidR="00E5399D" w:rsidRDefault="00E5399D" w:rsidP="00E5399D"/>
    <w:p w14:paraId="04A0F310" w14:textId="77777777" w:rsidR="00E5399D" w:rsidRDefault="00E5399D" w:rsidP="00E5399D">
      <w:r>
        <w:t xml:space="preserve">Nonobstant les résistances au concept de co-construction des politiques exprimées dans certains milieux, nous avons constaté </w:t>
      </w:r>
      <w:r w:rsidRPr="00A63A74">
        <w:t>ces</w:t>
      </w:r>
      <w:r>
        <w:t xml:space="preserve"> dernières années que cette façon de concevoir la participation citoyenne </w:t>
      </w:r>
      <w:r w:rsidRPr="00A63A74">
        <w:t>dans les</w:t>
      </w:r>
      <w:r>
        <w:t xml:space="preserve"> décisions de politiques publiques exerçait un attrait croissant dans une diversité de milieux et de lieux, notamment dans les réseaux intéressés par la promotion de l’ESS. Au Québec et au Canada, au cours des dernières années, la thématique de la co-construction a été appropriée et utilisée dans divers milieux de pratique et de recherche s’intéressant à la promotion de l’ESS et de son apport dans la démocratisation de l’économie et de la société.  Nous avons noté le même intérêt en </w:t>
      </w:r>
      <w:r>
        <w:lastRenderedPageBreak/>
        <w:t>Amérique latine et dans les Caraïbes (ALC), dans les réseaux d’ESS comme le RILESS (Réseau de chercheurs latino-américains en ESS) et le RIPESS-LAC (Réseau intercontinental de promotion de l’ESS-Amérique latine et Caraïbes). En Europe, l’idée de la co-construction, parfois avec des appellations autres, circule dans les colloques et publications du CIRIEC</w:t>
      </w:r>
      <w:r w:rsidR="0067703F">
        <w:t>-International</w:t>
      </w:r>
      <w:r>
        <w:t xml:space="preserve"> (</w:t>
      </w:r>
      <w:r w:rsidRPr="006F37A4">
        <w:rPr>
          <w:rFonts w:eastAsia="Times New Roman" w:cs="Times New Roman"/>
        </w:rPr>
        <w:t xml:space="preserve">Centre </w:t>
      </w:r>
      <w:r w:rsidR="00DB2ED1" w:rsidRPr="006F37A4">
        <w:rPr>
          <w:rFonts w:eastAsia="Times New Roman" w:cs="Times New Roman"/>
        </w:rPr>
        <w:t>i</w:t>
      </w:r>
      <w:r w:rsidRPr="006F37A4">
        <w:rPr>
          <w:rFonts w:eastAsia="Times New Roman" w:cs="Times New Roman"/>
        </w:rPr>
        <w:t xml:space="preserve">nternational de </w:t>
      </w:r>
      <w:r w:rsidR="00DB2ED1" w:rsidRPr="006F37A4">
        <w:rPr>
          <w:rFonts w:eastAsia="Times New Roman" w:cs="Times New Roman"/>
        </w:rPr>
        <w:t>r</w:t>
      </w:r>
      <w:r w:rsidR="006F37A4" w:rsidRPr="006F37A4">
        <w:rPr>
          <w:rFonts w:eastAsia="Times New Roman" w:cs="Times New Roman"/>
        </w:rPr>
        <w:t>echerche</w:t>
      </w:r>
      <w:r w:rsidRPr="006F37A4">
        <w:rPr>
          <w:rFonts w:eastAsia="Times New Roman" w:cs="Times New Roman"/>
        </w:rPr>
        <w:t xml:space="preserve"> et d'</w:t>
      </w:r>
      <w:r w:rsidR="00DB2ED1" w:rsidRPr="006F37A4">
        <w:rPr>
          <w:rFonts w:eastAsia="Times New Roman" w:cs="Times New Roman"/>
        </w:rPr>
        <w:t>i</w:t>
      </w:r>
      <w:r w:rsidRPr="006F37A4">
        <w:rPr>
          <w:rFonts w:eastAsia="Times New Roman" w:cs="Times New Roman"/>
        </w:rPr>
        <w:t>nformation sur l'</w:t>
      </w:r>
      <w:r w:rsidR="00DB2ED1" w:rsidRPr="006F37A4">
        <w:rPr>
          <w:rStyle w:val="lev"/>
          <w:rFonts w:eastAsia="Times New Roman" w:cs="Times New Roman"/>
          <w:b w:val="0"/>
        </w:rPr>
        <w:t>é</w:t>
      </w:r>
      <w:r w:rsidRPr="006F37A4">
        <w:rPr>
          <w:rStyle w:val="lev"/>
          <w:rFonts w:eastAsia="Times New Roman" w:cs="Times New Roman"/>
          <w:b w:val="0"/>
        </w:rPr>
        <w:t>conomie</w:t>
      </w:r>
      <w:r w:rsidRPr="006F37A4">
        <w:rPr>
          <w:rFonts w:eastAsia="Times New Roman" w:cs="Times New Roman"/>
        </w:rPr>
        <w:t xml:space="preserve"> </w:t>
      </w:r>
      <w:r w:rsidR="00DB2ED1" w:rsidRPr="006F37A4">
        <w:rPr>
          <w:rFonts w:eastAsia="Times New Roman" w:cs="Times New Roman"/>
        </w:rPr>
        <w:t>p</w:t>
      </w:r>
      <w:r w:rsidRPr="006F37A4">
        <w:rPr>
          <w:rFonts w:eastAsia="Times New Roman" w:cs="Times New Roman"/>
        </w:rPr>
        <w:t xml:space="preserve">ublique, </w:t>
      </w:r>
      <w:r w:rsidR="00DB2ED1" w:rsidRPr="006F37A4">
        <w:rPr>
          <w:rFonts w:eastAsia="Times New Roman" w:cs="Times New Roman"/>
        </w:rPr>
        <w:t>s</w:t>
      </w:r>
      <w:r w:rsidRPr="006F37A4">
        <w:rPr>
          <w:rFonts w:eastAsia="Times New Roman" w:cs="Times New Roman"/>
        </w:rPr>
        <w:t xml:space="preserve">ociale et </w:t>
      </w:r>
      <w:r w:rsidR="00DB2ED1" w:rsidRPr="006F37A4">
        <w:rPr>
          <w:rFonts w:eastAsia="Times New Roman" w:cs="Times New Roman"/>
        </w:rPr>
        <w:t>c</w:t>
      </w:r>
      <w:r w:rsidRPr="006F37A4">
        <w:rPr>
          <w:rFonts w:eastAsia="Times New Roman" w:cs="Times New Roman"/>
        </w:rPr>
        <w:t>oopérative</w:t>
      </w:r>
      <w:r>
        <w:rPr>
          <w:rFonts w:eastAsia="Times New Roman" w:cs="Times New Roman"/>
        </w:rPr>
        <w:t>)</w:t>
      </w:r>
      <w:r>
        <w:t xml:space="preserve">, du RTES (Réseau des collectivités territoriales d’économie solidaire) et du RIUESS (Réseau interuniversitaire en ESS), comme en témoigne </w:t>
      </w:r>
      <w:r w:rsidRPr="00A63A74">
        <w:t>la programmation de</w:t>
      </w:r>
      <w:r>
        <w:t xml:space="preserve"> la 14</w:t>
      </w:r>
      <w:r w:rsidRPr="00894367">
        <w:rPr>
          <w:vertAlign w:val="superscript"/>
        </w:rPr>
        <w:t>e</w:t>
      </w:r>
      <w:r>
        <w:t xml:space="preserve"> Rencontre annuelle tenue à Lille en mai 2014.  </w:t>
      </w:r>
    </w:p>
    <w:p w14:paraId="2D995F8A" w14:textId="77777777" w:rsidR="00E5399D" w:rsidRDefault="00E5399D" w:rsidP="00E5399D"/>
    <w:p w14:paraId="6FF309D8" w14:textId="77777777" w:rsidR="00E5399D" w:rsidRDefault="00E5399D" w:rsidP="00E5399D">
      <w:r>
        <w:t xml:space="preserve">À nos yeux, la co-construction démocratique des politiques publiques à laquelle l’ESS participe </w:t>
      </w:r>
      <w:r w:rsidR="00E57FF6">
        <w:t xml:space="preserve">demeure </w:t>
      </w:r>
      <w:r>
        <w:t xml:space="preserve">une denrée rare. Elle s’apparente à un état de grâce quand elle surgit dans la vie démocratique d’une société. </w:t>
      </w:r>
      <w:r w:rsidRPr="00A63A74">
        <w:t>Elle ne constitue</w:t>
      </w:r>
      <w:r>
        <w:t xml:space="preserve"> pas une recette applicable partout et à tout moment. Si on la définit avec rigueur, elle </w:t>
      </w:r>
      <w:r w:rsidRPr="00A63A74">
        <w:t>devient</w:t>
      </w:r>
      <w:r>
        <w:t xml:space="preserve"> plus rare. </w:t>
      </w:r>
      <w:r w:rsidR="00E57FF6">
        <w:t>Néanmoins</w:t>
      </w:r>
      <w:r>
        <w:t xml:space="preserve">, à ce moment-là, elle </w:t>
      </w:r>
      <w:r w:rsidRPr="00A63A74">
        <w:t>n’en demeure pas moins</w:t>
      </w:r>
      <w:r>
        <w:t xml:space="preserve"> pertinente, </w:t>
      </w:r>
      <w:r w:rsidRPr="00A63A74">
        <w:t>indispensable</w:t>
      </w:r>
      <w:r>
        <w:t xml:space="preserve"> et source d’innovation. </w:t>
      </w:r>
    </w:p>
    <w:p w14:paraId="59CDA611" w14:textId="77777777" w:rsidR="00E5399D" w:rsidRDefault="00E5399D" w:rsidP="00E5399D"/>
    <w:p w14:paraId="4168CB18" w14:textId="77777777" w:rsidR="00E5399D" w:rsidRDefault="00E5399D" w:rsidP="00E5399D">
      <w:r>
        <w:t xml:space="preserve">Le texte qui suit est structuré en quatre </w:t>
      </w:r>
      <w:r w:rsidR="00DE7A2F">
        <w:t>section</w:t>
      </w:r>
      <w:r>
        <w:t xml:space="preserve">s. Dans une première, en mettant à contribution </w:t>
      </w:r>
      <w:r w:rsidRPr="00A63A74">
        <w:t>nos écrits</w:t>
      </w:r>
      <w:r>
        <w:t xml:space="preserve"> antérieurs, nous synthétisons les balises théoriques du concept de participation de l’ESS à la co-construction démocratique des politiques publiques</w:t>
      </w:r>
      <w:r w:rsidR="00E57FF6">
        <w:t>, en la distinguant de la participation à la co-production des politiques</w:t>
      </w:r>
      <w:r>
        <w:t xml:space="preserve">. Dans les trois </w:t>
      </w:r>
      <w:r w:rsidR="00DE7A2F">
        <w:t>section</w:t>
      </w:r>
      <w:r>
        <w:t xml:space="preserve">s qui suivent, nous illustrons les paramètres théoriques fournis dans la première </w:t>
      </w:r>
      <w:r w:rsidR="00DE7A2F">
        <w:t>section</w:t>
      </w:r>
      <w:r>
        <w:t xml:space="preserve"> en tirant certains enseignements à partir d’études </w:t>
      </w:r>
      <w:r w:rsidR="00DB2ED1" w:rsidRPr="006F37A4">
        <w:t>de</w:t>
      </w:r>
      <w:r w:rsidR="00DB2ED1">
        <w:t xml:space="preserve"> </w:t>
      </w:r>
      <w:r>
        <w:t>cas et de recensions d’écrits concernant successivement le Canada (</w:t>
      </w:r>
      <w:r w:rsidR="00DE7A2F">
        <w:t>section II), le Québec (section III</w:t>
      </w:r>
      <w:r>
        <w:t>) et la région de l’Am</w:t>
      </w:r>
      <w:r w:rsidR="00DE7A2F">
        <w:t>érique latine et des Caraïbes (section IV</w:t>
      </w:r>
      <w:r>
        <w:t>)</w:t>
      </w:r>
      <w:r w:rsidR="00E57FF6">
        <w:rPr>
          <w:rStyle w:val="Marquenotebasdepage"/>
        </w:rPr>
        <w:footnoteReference w:id="3"/>
      </w:r>
      <w:r>
        <w:t>.</w:t>
      </w:r>
      <w:r w:rsidR="00E57FF6">
        <w:t xml:space="preserve">  </w:t>
      </w:r>
    </w:p>
    <w:p w14:paraId="6C44274A" w14:textId="77777777" w:rsidR="00E5399D" w:rsidRDefault="00E5399D" w:rsidP="00414573"/>
    <w:p w14:paraId="0DA43E58" w14:textId="77777777" w:rsidR="0026369D" w:rsidRDefault="0026369D" w:rsidP="00F049AA"/>
    <w:p w14:paraId="70F85E34" w14:textId="77777777" w:rsidR="009D319C" w:rsidRDefault="009D319C" w:rsidP="00F049AA"/>
    <w:p w14:paraId="0342DF7D" w14:textId="77777777" w:rsidR="008500C1" w:rsidRPr="00826526" w:rsidRDefault="00F6521F" w:rsidP="00826526">
      <w:pPr>
        <w:pStyle w:val="Titre1"/>
        <w:spacing w:before="0"/>
        <w:rPr>
          <w:rFonts w:asciiTheme="minorHAnsi" w:eastAsiaTheme="minorEastAsia" w:hAnsiTheme="minorHAnsi" w:cstheme="minorBidi"/>
          <w:color w:val="auto"/>
          <w:sz w:val="24"/>
          <w:szCs w:val="24"/>
        </w:rPr>
      </w:pPr>
      <w:r>
        <w:br w:type="page"/>
      </w:r>
      <w:bookmarkStart w:id="7" w:name="_Toc405126542"/>
      <w:bookmarkStart w:id="8" w:name="_Toc405129025"/>
      <w:r w:rsidR="00826526" w:rsidRPr="00826526">
        <w:rPr>
          <w:color w:val="auto"/>
        </w:rPr>
        <w:lastRenderedPageBreak/>
        <w:t xml:space="preserve">Partie 1 </w:t>
      </w:r>
      <w:r w:rsidR="00826526">
        <w:rPr>
          <w:color w:val="auto"/>
        </w:rPr>
        <w:br/>
      </w:r>
      <w:r w:rsidR="001E64EC" w:rsidRPr="00826526">
        <w:rPr>
          <w:color w:val="auto"/>
        </w:rPr>
        <w:t>BALISES THÉORIQUES</w:t>
      </w:r>
      <w:r w:rsidR="00361372" w:rsidRPr="00826526">
        <w:rPr>
          <w:color w:val="auto"/>
        </w:rPr>
        <w:t xml:space="preserve"> ET IMPLICATIONS POLITIQUES</w:t>
      </w:r>
      <w:bookmarkEnd w:id="7"/>
      <w:bookmarkEnd w:id="8"/>
      <w:r w:rsidR="00C92711" w:rsidRPr="00826526">
        <w:rPr>
          <w:rFonts w:asciiTheme="minorHAnsi" w:eastAsiaTheme="minorEastAsia" w:hAnsiTheme="minorHAnsi" w:cstheme="minorBidi"/>
          <w:color w:val="auto"/>
          <w:sz w:val="24"/>
          <w:szCs w:val="24"/>
        </w:rPr>
        <w:t xml:space="preserve"> </w:t>
      </w:r>
    </w:p>
    <w:p w14:paraId="378475C8" w14:textId="77777777" w:rsidR="0041163E" w:rsidRDefault="00C92711" w:rsidP="00BD3746">
      <w:r>
        <w:t>Dans ce</w:t>
      </w:r>
      <w:r w:rsidR="0028268E">
        <w:t xml:space="preserve">tte </w:t>
      </w:r>
      <w:r w:rsidR="0028268E" w:rsidRPr="006F37A4">
        <w:t>première partie</w:t>
      </w:r>
      <w:r w:rsidR="0028268E">
        <w:t>, nous comptons</w:t>
      </w:r>
      <w:r>
        <w:t xml:space="preserve"> </w:t>
      </w:r>
      <w:r w:rsidR="0041163E">
        <w:t>revenir</w:t>
      </w:r>
      <w:r>
        <w:t xml:space="preserve"> sur les balises conceptuelles sous-jacentes à l’expression « participation de l’ESS à la co-construction démocratique d</w:t>
      </w:r>
      <w:r w:rsidR="00E713C5">
        <w:t xml:space="preserve">es politiques publiques » et </w:t>
      </w:r>
      <w:r w:rsidR="009816D7">
        <w:t>livrer</w:t>
      </w:r>
      <w:r w:rsidR="0041163E">
        <w:t xml:space="preserve"> quelques réflexions sur les implications politiques de</w:t>
      </w:r>
      <w:r w:rsidR="00E713C5">
        <w:t>s</w:t>
      </w:r>
      <w:r w:rsidR="0041163E">
        <w:t xml:space="preserve"> précisions théoriques fournies</w:t>
      </w:r>
      <w:r w:rsidR="00E713C5">
        <w:t>. Voici donc quelques b</w:t>
      </w:r>
      <w:r w:rsidR="0041163E" w:rsidRPr="00E713C5">
        <w:t>alises théoriques</w:t>
      </w:r>
      <w:r w:rsidR="00BD3746" w:rsidRPr="00E713C5">
        <w:t xml:space="preserve"> concernant le concept de</w:t>
      </w:r>
      <w:r w:rsidR="009816D7" w:rsidRPr="00E713C5">
        <w:t xml:space="preserve"> co-construction</w:t>
      </w:r>
      <w:r w:rsidR="00E713C5">
        <w:t>.</w:t>
      </w:r>
      <w:r w:rsidR="00BD3746">
        <w:rPr>
          <w:rStyle w:val="Marquenotebasdepage"/>
          <w:b/>
        </w:rPr>
        <w:footnoteReference w:id="4"/>
      </w:r>
      <w:r w:rsidR="00E713C5">
        <w:t xml:space="preserve"> </w:t>
      </w:r>
      <w:r w:rsidR="0028268E">
        <w:t>On aura remarqué que nous</w:t>
      </w:r>
      <w:r w:rsidR="00BD3746">
        <w:t xml:space="preserve"> </w:t>
      </w:r>
      <w:r w:rsidR="0028268E">
        <w:t>ne parlons</w:t>
      </w:r>
      <w:r w:rsidR="00E713C5">
        <w:t xml:space="preserve"> pas</w:t>
      </w:r>
      <w:r w:rsidR="00BD3746">
        <w:t xml:space="preserve"> seulement de</w:t>
      </w:r>
      <w:r w:rsidR="00E713C5">
        <w:t xml:space="preserve"> co-construction, mais </w:t>
      </w:r>
      <w:r w:rsidR="00BD3746">
        <w:t>de « participation de l’ESS à la co-construction démocratique des politiques publiques ». Cela donne une phrase plus longue. Mais chaque mot est important.</w:t>
      </w:r>
      <w:r w:rsidR="0028268E">
        <w:t xml:space="preserve"> Nous nous expliquons</w:t>
      </w:r>
      <w:r w:rsidR="000E07D6">
        <w:t>.</w:t>
      </w:r>
    </w:p>
    <w:p w14:paraId="6FA75C69" w14:textId="77777777" w:rsidR="000E07D6" w:rsidRDefault="000E07D6" w:rsidP="00BD3746"/>
    <w:p w14:paraId="0291286D" w14:textId="77777777" w:rsidR="0077635E" w:rsidRPr="00137180" w:rsidRDefault="0028268E" w:rsidP="0077635E">
      <w:pPr>
        <w:pStyle w:val="Paragraphedeliste"/>
        <w:numPr>
          <w:ilvl w:val="0"/>
          <w:numId w:val="16"/>
        </w:numPr>
        <w:rPr>
          <w:lang w:val="fr-FR"/>
        </w:rPr>
      </w:pPr>
      <w:r>
        <w:t xml:space="preserve">Lorsque nous </w:t>
      </w:r>
      <w:r w:rsidR="00CC2DF2">
        <w:t>met</w:t>
      </w:r>
      <w:r>
        <w:t>ton</w:t>
      </w:r>
      <w:r w:rsidR="00CC2DF2">
        <w:t xml:space="preserve">s l’accent sur </w:t>
      </w:r>
      <w:r w:rsidR="00CC2DF2" w:rsidRPr="00137180">
        <w:rPr>
          <w:i/>
        </w:rPr>
        <w:t>la participation de l’ESS</w:t>
      </w:r>
      <w:r>
        <w:t>, nous prenon</w:t>
      </w:r>
      <w:r w:rsidR="00CC2DF2">
        <w:t>s pour acquis que les acteurs de l’ESS</w:t>
      </w:r>
      <w:r w:rsidR="00DA2E11">
        <w:rPr>
          <w:rStyle w:val="Marquenotebasdepage"/>
        </w:rPr>
        <w:footnoteReference w:id="5"/>
      </w:r>
      <w:r w:rsidR="00CC2DF2">
        <w:t xml:space="preserve"> </w:t>
      </w:r>
      <w:r w:rsidR="00CC2DF2" w:rsidRPr="00137180">
        <w:rPr>
          <w:rFonts w:ascii="Cambria" w:hAnsi="Cambria"/>
        </w:rPr>
        <w:t>—</w:t>
      </w:r>
      <w:r w:rsidR="00CC2DF2">
        <w:t>ou du tiers secteur</w:t>
      </w:r>
      <w:r w:rsidR="00CC2DF2" w:rsidRPr="00137180">
        <w:rPr>
          <w:rFonts w:ascii="Cambria" w:hAnsi="Cambria"/>
          <w:lang w:val="fr-FR"/>
        </w:rPr>
        <w:t>— sont souvent oubliés ou marginalisés dans le développement des politiques publiques</w:t>
      </w:r>
      <w:r w:rsidR="00A633AA" w:rsidRPr="00137180">
        <w:rPr>
          <w:rFonts w:ascii="Cambria" w:hAnsi="Cambria"/>
          <w:lang w:val="fr-FR"/>
        </w:rPr>
        <w:t xml:space="preserve"> et que leur participation peut enrichir le contenu des politiques publiques et démocratiser le processus de prise de décisions les concernant</w:t>
      </w:r>
      <w:r w:rsidR="003653A0" w:rsidRPr="00137180">
        <w:rPr>
          <w:rFonts w:ascii="Cambria" w:hAnsi="Cambria"/>
          <w:lang w:val="fr-FR"/>
        </w:rPr>
        <w:t xml:space="preserve"> (Vaillancourt, 2010)</w:t>
      </w:r>
      <w:r w:rsidR="00A633AA" w:rsidRPr="00137180">
        <w:rPr>
          <w:rFonts w:ascii="Cambria" w:hAnsi="Cambria"/>
          <w:lang w:val="fr-FR"/>
        </w:rPr>
        <w:t>.</w:t>
      </w:r>
      <w:r w:rsidR="00137180" w:rsidRPr="00137180">
        <w:rPr>
          <w:rFonts w:ascii="Cambria" w:hAnsi="Cambria"/>
          <w:lang w:val="fr-FR"/>
        </w:rPr>
        <w:t xml:space="preserve"> </w:t>
      </w:r>
    </w:p>
    <w:p w14:paraId="15C88FE1" w14:textId="77777777" w:rsidR="00137180" w:rsidRPr="00137180" w:rsidRDefault="00137180" w:rsidP="00137180">
      <w:pPr>
        <w:rPr>
          <w:lang w:val="fr-FR"/>
        </w:rPr>
      </w:pPr>
    </w:p>
    <w:p w14:paraId="4A4459A5" w14:textId="77777777" w:rsidR="001029A8" w:rsidRPr="001029A8" w:rsidRDefault="0028268E" w:rsidP="00CC2DF2">
      <w:pPr>
        <w:pStyle w:val="Paragraphedeliste"/>
        <w:numPr>
          <w:ilvl w:val="0"/>
          <w:numId w:val="16"/>
        </w:numPr>
        <w:rPr>
          <w:lang w:val="fr-FR"/>
        </w:rPr>
      </w:pPr>
      <w:r>
        <w:rPr>
          <w:rFonts w:ascii="Cambria" w:hAnsi="Cambria"/>
          <w:lang w:val="fr-FR"/>
        </w:rPr>
        <w:t>Nous sommes</w:t>
      </w:r>
      <w:r w:rsidR="0077635E">
        <w:rPr>
          <w:rFonts w:ascii="Cambria" w:hAnsi="Cambria"/>
          <w:lang w:val="fr-FR"/>
        </w:rPr>
        <w:t xml:space="preserve"> d’accord avec </w:t>
      </w:r>
      <w:r w:rsidR="00361372">
        <w:rPr>
          <w:rFonts w:ascii="Cambria" w:hAnsi="Cambria"/>
          <w:lang w:val="fr-FR"/>
        </w:rPr>
        <w:t xml:space="preserve">Adalbert </w:t>
      </w:r>
      <w:r w:rsidR="0077635E">
        <w:rPr>
          <w:rFonts w:ascii="Cambria" w:hAnsi="Cambria"/>
          <w:lang w:val="fr-FR"/>
        </w:rPr>
        <w:t>Evers (2013) qui argumente que certains auteurs qui favorisent la participation</w:t>
      </w:r>
      <w:r w:rsidR="00AF7C78">
        <w:rPr>
          <w:rFonts w:ascii="Cambria" w:hAnsi="Cambria"/>
          <w:lang w:val="fr-FR"/>
        </w:rPr>
        <w:t xml:space="preserve"> des organisations du tiers secteur</w:t>
      </w:r>
      <w:r w:rsidR="00AF7C78" w:rsidRPr="00CC2DF2">
        <w:rPr>
          <w:rFonts w:ascii="Cambria" w:hAnsi="Cambria"/>
        </w:rPr>
        <w:t>—</w:t>
      </w:r>
      <w:r w:rsidR="00AF7C78">
        <w:rPr>
          <w:rFonts w:ascii="Cambria" w:hAnsi="Cambria"/>
        </w:rPr>
        <w:t>ou de l’ESS en ce qui nous concerne</w:t>
      </w:r>
      <w:r w:rsidR="00AF7C78" w:rsidRPr="00CC2DF2">
        <w:rPr>
          <w:rFonts w:ascii="Cambria" w:hAnsi="Cambria"/>
        </w:rPr>
        <w:t>—</w:t>
      </w:r>
      <w:r w:rsidR="00AF7C78">
        <w:rPr>
          <w:rFonts w:ascii="Cambria" w:hAnsi="Cambria"/>
        </w:rPr>
        <w:t xml:space="preserve"> dans les réformes de l’État-providence mettent l’accent trop souvent sur la participation des </w:t>
      </w:r>
      <w:r w:rsidR="00361372">
        <w:rPr>
          <w:rFonts w:ascii="Cambria" w:hAnsi="Cambria"/>
        </w:rPr>
        <w:t>entreprise</w:t>
      </w:r>
      <w:r w:rsidR="00AF7C78">
        <w:rPr>
          <w:rFonts w:ascii="Cambria" w:hAnsi="Cambria"/>
        </w:rPr>
        <w:t xml:space="preserve">s qui fournissent des biens et des services et trop peu souvent sur celle des organisations qui font de la plaidoirie en faveur des droits de la personne. Pourtant, les deux sortes d’associations </w:t>
      </w:r>
      <w:r w:rsidR="00AF7C78" w:rsidRPr="00CC2DF2">
        <w:rPr>
          <w:rFonts w:ascii="Cambria" w:hAnsi="Cambria"/>
        </w:rPr>
        <w:t>—</w:t>
      </w:r>
      <w:r w:rsidR="00AF7C78">
        <w:rPr>
          <w:rFonts w:ascii="Cambria" w:hAnsi="Cambria"/>
        </w:rPr>
        <w:t>celles qui offrent des biens et services et celles qui font de l’</w:t>
      </w:r>
      <w:r w:rsidR="00AF7C78">
        <w:rPr>
          <w:rFonts w:ascii="Cambria" w:hAnsi="Cambria"/>
          <w:i/>
        </w:rPr>
        <w:t>advocacy</w:t>
      </w:r>
      <w:r w:rsidR="00AF7C78" w:rsidRPr="00CC2DF2">
        <w:rPr>
          <w:rFonts w:ascii="Cambria" w:hAnsi="Cambria"/>
        </w:rPr>
        <w:t>—</w:t>
      </w:r>
      <w:r w:rsidR="00AF7C78">
        <w:rPr>
          <w:rFonts w:ascii="Cambria" w:hAnsi="Cambria"/>
        </w:rPr>
        <w:t xml:space="preserve"> devraient participer</w:t>
      </w:r>
      <w:r w:rsidR="00726E74">
        <w:rPr>
          <w:rFonts w:ascii="Cambria" w:hAnsi="Cambria"/>
        </w:rPr>
        <w:t xml:space="preserve"> dans les processus de co-construction des politiques publiques dans le but de les rendre plus adéquates et démocratiques.</w:t>
      </w:r>
      <w:r w:rsidR="00AF7C78">
        <w:rPr>
          <w:rFonts w:ascii="Cambria" w:hAnsi="Cambria"/>
        </w:rPr>
        <w:t xml:space="preserve"> </w:t>
      </w:r>
    </w:p>
    <w:p w14:paraId="3B2FF48B" w14:textId="77777777" w:rsidR="001029A8" w:rsidRPr="001029A8" w:rsidRDefault="001029A8" w:rsidP="001029A8">
      <w:pPr>
        <w:rPr>
          <w:rFonts w:ascii="Cambria" w:hAnsi="Cambria"/>
        </w:rPr>
      </w:pPr>
    </w:p>
    <w:p w14:paraId="39C55E06" w14:textId="77777777" w:rsidR="0027365F" w:rsidRPr="001E45AC" w:rsidRDefault="00E33FD3" w:rsidP="00CC2DF2">
      <w:pPr>
        <w:pStyle w:val="Paragraphedeliste"/>
        <w:numPr>
          <w:ilvl w:val="0"/>
          <w:numId w:val="16"/>
        </w:numPr>
        <w:rPr>
          <w:lang w:val="fr-FR"/>
        </w:rPr>
      </w:pPr>
      <w:r>
        <w:rPr>
          <w:rFonts w:ascii="Cambria" w:hAnsi="Cambria"/>
        </w:rPr>
        <w:t>Nous utilisons</w:t>
      </w:r>
      <w:r w:rsidR="001029A8">
        <w:rPr>
          <w:rFonts w:ascii="Cambria" w:hAnsi="Cambria"/>
        </w:rPr>
        <w:t xml:space="preserve"> le concept de </w:t>
      </w:r>
      <w:r w:rsidR="001029A8">
        <w:rPr>
          <w:rFonts w:ascii="Cambria" w:hAnsi="Cambria"/>
          <w:i/>
        </w:rPr>
        <w:t>co-construction des politiques publiques</w:t>
      </w:r>
      <w:r w:rsidR="001029A8">
        <w:rPr>
          <w:rFonts w:ascii="Cambria" w:hAnsi="Cambria"/>
        </w:rPr>
        <w:t xml:space="preserve"> pour soulever l’enjeu de la participation des parties prenantes de la société civile </w:t>
      </w:r>
      <w:r w:rsidR="001029A8" w:rsidRPr="00CC2DF2">
        <w:rPr>
          <w:rFonts w:ascii="Cambria" w:hAnsi="Cambria"/>
        </w:rPr>
        <w:t>—</w:t>
      </w:r>
      <w:r w:rsidR="001029A8">
        <w:rPr>
          <w:rFonts w:ascii="Cambria" w:hAnsi="Cambria"/>
        </w:rPr>
        <w:t>incluant l’ESS</w:t>
      </w:r>
      <w:r w:rsidR="001029A8" w:rsidRPr="00CC2DF2">
        <w:rPr>
          <w:rFonts w:ascii="Cambria" w:hAnsi="Cambria"/>
        </w:rPr>
        <w:t>—</w:t>
      </w:r>
      <w:r w:rsidR="001029A8">
        <w:rPr>
          <w:rFonts w:ascii="Cambria" w:hAnsi="Cambria"/>
        </w:rPr>
        <w:t xml:space="preserve"> dans la définition (ou l’élaboration) des politiques publiques. La co-construction fait référence à un processus de co-décision auquel participe</w:t>
      </w:r>
      <w:r w:rsidR="00361372">
        <w:rPr>
          <w:rFonts w:ascii="Cambria" w:hAnsi="Cambria"/>
        </w:rPr>
        <w:t>nt</w:t>
      </w:r>
      <w:r w:rsidR="001029A8">
        <w:rPr>
          <w:rFonts w:ascii="Cambria" w:hAnsi="Cambria"/>
        </w:rPr>
        <w:t xml:space="preserve"> à la fois les acteurs de la société civile et les acteurs de l’État (ou de la société politique). Le concept de co-construction se distingue nettement de celui de co-production. Dans la </w:t>
      </w:r>
      <w:r w:rsidR="001029A8">
        <w:rPr>
          <w:rFonts w:ascii="Cambria" w:hAnsi="Cambria"/>
          <w:i/>
        </w:rPr>
        <w:t xml:space="preserve">co-production </w:t>
      </w:r>
      <w:r w:rsidR="001029A8">
        <w:rPr>
          <w:rFonts w:ascii="Cambria" w:hAnsi="Cambria"/>
        </w:rPr>
        <w:t xml:space="preserve">des politiques publiques, la participation des acteurs de la société civile (incluant les acteurs de l’ESS) se limite à </w:t>
      </w:r>
      <w:r w:rsidR="001029A8">
        <w:rPr>
          <w:rFonts w:ascii="Cambria" w:hAnsi="Cambria"/>
          <w:i/>
        </w:rPr>
        <w:t>la mise en œuvre</w:t>
      </w:r>
      <w:r w:rsidR="001029A8">
        <w:rPr>
          <w:rFonts w:ascii="Cambria" w:hAnsi="Cambria"/>
        </w:rPr>
        <w:t xml:space="preserve"> des politiques</w:t>
      </w:r>
      <w:r w:rsidR="00F93C1B">
        <w:rPr>
          <w:rFonts w:ascii="Cambria" w:hAnsi="Cambria"/>
        </w:rPr>
        <w:t xml:space="preserve"> qui peuvent avoir été soit construites par l’État seul ou co-construites par l’État et la société civile. Ainsi, dans la co-construction des politiques publiques, la participation citoyenne contribue directement à son élaboration, ce qui est beaucoup plus que de participer à un processus de consultation.</w:t>
      </w:r>
      <w:r w:rsidR="001029A8">
        <w:rPr>
          <w:rFonts w:ascii="Cambria" w:hAnsi="Cambria"/>
        </w:rPr>
        <w:t xml:space="preserve"> </w:t>
      </w:r>
      <w:r w:rsidR="0027365F">
        <w:rPr>
          <w:rFonts w:ascii="Cambria" w:hAnsi="Cambria"/>
        </w:rPr>
        <w:t xml:space="preserve">La co-construction a trait à la dimension institutionnelle des </w:t>
      </w:r>
      <w:r w:rsidR="0027365F">
        <w:rPr>
          <w:rFonts w:ascii="Cambria" w:hAnsi="Cambria"/>
        </w:rPr>
        <w:lastRenderedPageBreak/>
        <w:t>politiques, tandis que la co-production touche leur dimension organisationnelle ou opérationnelle</w:t>
      </w:r>
      <w:r w:rsidR="008B13FF">
        <w:rPr>
          <w:rStyle w:val="Marquenotebasdepage"/>
          <w:rFonts w:ascii="Cambria" w:hAnsi="Cambria"/>
        </w:rPr>
        <w:footnoteReference w:id="6"/>
      </w:r>
      <w:r w:rsidR="0027365F">
        <w:rPr>
          <w:rFonts w:ascii="Cambria" w:hAnsi="Cambria"/>
        </w:rPr>
        <w:t>.</w:t>
      </w:r>
    </w:p>
    <w:p w14:paraId="63B4EABD" w14:textId="77777777" w:rsidR="001E45AC" w:rsidRPr="001E45AC" w:rsidRDefault="001E45AC" w:rsidP="001E45AC">
      <w:pPr>
        <w:rPr>
          <w:lang w:val="fr-FR"/>
        </w:rPr>
      </w:pPr>
    </w:p>
    <w:p w14:paraId="2E9E3758" w14:textId="77777777" w:rsidR="0027365F" w:rsidRDefault="0027365F" w:rsidP="00CC2DF2">
      <w:pPr>
        <w:pStyle w:val="Paragraphedeliste"/>
        <w:numPr>
          <w:ilvl w:val="0"/>
          <w:numId w:val="16"/>
        </w:numPr>
        <w:rPr>
          <w:lang w:val="fr-FR"/>
        </w:rPr>
      </w:pPr>
      <w:r>
        <w:rPr>
          <w:rFonts w:ascii="Cambria" w:hAnsi="Cambria"/>
        </w:rPr>
        <w:t xml:space="preserve">En parlant de co-construction et de co-production des </w:t>
      </w:r>
      <w:r w:rsidRPr="0027365F">
        <w:rPr>
          <w:rFonts w:ascii="Cambria" w:hAnsi="Cambria"/>
          <w:i/>
        </w:rPr>
        <w:t>politiques publiques</w:t>
      </w:r>
      <w:r>
        <w:rPr>
          <w:rFonts w:ascii="Cambria" w:hAnsi="Cambria"/>
        </w:rPr>
        <w:t xml:space="preserve">, </w:t>
      </w:r>
      <w:r w:rsidR="00C90384">
        <w:rPr>
          <w:rFonts w:ascii="Cambria" w:hAnsi="Cambria"/>
        </w:rPr>
        <w:t>nous</w:t>
      </w:r>
      <w:r w:rsidR="001E45AC">
        <w:rPr>
          <w:rFonts w:ascii="Cambria" w:hAnsi="Cambria"/>
        </w:rPr>
        <w:t xml:space="preserve"> fais</w:t>
      </w:r>
      <w:r w:rsidR="00C90384">
        <w:rPr>
          <w:rFonts w:ascii="Cambria" w:hAnsi="Cambria"/>
        </w:rPr>
        <w:t>ons</w:t>
      </w:r>
      <w:r w:rsidR="001E45AC">
        <w:rPr>
          <w:rFonts w:ascii="Cambria" w:hAnsi="Cambria"/>
        </w:rPr>
        <w:t xml:space="preserve"> une précision</w:t>
      </w:r>
      <w:r w:rsidR="00C90384">
        <w:rPr>
          <w:rFonts w:ascii="Cambria" w:hAnsi="Cambria"/>
        </w:rPr>
        <w:t xml:space="preserve"> qui permet de comprendre que nous </w:t>
      </w:r>
      <w:r w:rsidR="001E45AC">
        <w:rPr>
          <w:rFonts w:ascii="Cambria" w:hAnsi="Cambria"/>
        </w:rPr>
        <w:t>établis</w:t>
      </w:r>
      <w:r w:rsidR="00C90384">
        <w:rPr>
          <w:rFonts w:ascii="Cambria" w:hAnsi="Cambria"/>
        </w:rPr>
        <w:t>sons</w:t>
      </w:r>
      <w:r w:rsidR="001E45AC">
        <w:rPr>
          <w:rFonts w:ascii="Cambria" w:hAnsi="Cambria"/>
        </w:rPr>
        <w:t xml:space="preserve"> une démarcation avec l’usage, par ailleurs très légitime, qu’on peut faire des mêmes concepts pour analyser les processus de co-construction ou de co-production des connaissances</w:t>
      </w:r>
      <w:r w:rsidR="001E45AC">
        <w:rPr>
          <w:lang w:val="fr-FR"/>
        </w:rPr>
        <w:t>, ou encore pour étudier en sciences de la gestion ou en sociologie du travail les formes de concertation entre travailleurs et usagers dans la planification et la gestion des entreprises (Vaillancourt, 2008</w:t>
      </w:r>
      <w:r w:rsidR="008570BD">
        <w:rPr>
          <w:lang w:val="fr-FR"/>
        </w:rPr>
        <w:t xml:space="preserve"> et à paraître en 2015</w:t>
      </w:r>
      <w:r w:rsidR="001E45AC">
        <w:rPr>
          <w:lang w:val="fr-FR"/>
        </w:rPr>
        <w:t>).</w:t>
      </w:r>
      <w:r w:rsidR="0077635E" w:rsidRPr="0027365F">
        <w:rPr>
          <w:lang w:val="fr-FR"/>
        </w:rPr>
        <w:t xml:space="preserve"> </w:t>
      </w:r>
    </w:p>
    <w:p w14:paraId="06BDE6EA" w14:textId="77777777" w:rsidR="00AA6369" w:rsidRPr="00AA6369" w:rsidRDefault="00AA6369" w:rsidP="00AA6369">
      <w:pPr>
        <w:rPr>
          <w:lang w:val="fr-FR"/>
        </w:rPr>
      </w:pPr>
    </w:p>
    <w:p w14:paraId="3E505E79" w14:textId="77777777" w:rsidR="00AA6369" w:rsidRDefault="007021BA" w:rsidP="00CC2DF2">
      <w:pPr>
        <w:pStyle w:val="Paragraphedeliste"/>
        <w:numPr>
          <w:ilvl w:val="0"/>
          <w:numId w:val="16"/>
        </w:numPr>
        <w:rPr>
          <w:lang w:val="fr-FR"/>
        </w:rPr>
      </w:pPr>
      <w:r>
        <w:rPr>
          <w:lang w:val="fr-FR"/>
        </w:rPr>
        <w:t>Nous</w:t>
      </w:r>
      <w:r w:rsidR="00AA6369">
        <w:rPr>
          <w:lang w:val="fr-FR"/>
        </w:rPr>
        <w:t xml:space="preserve"> met</w:t>
      </w:r>
      <w:r>
        <w:rPr>
          <w:lang w:val="fr-FR"/>
        </w:rPr>
        <w:t>ton</w:t>
      </w:r>
      <w:r w:rsidR="00AA6369">
        <w:rPr>
          <w:lang w:val="fr-FR"/>
        </w:rPr>
        <w:t xml:space="preserve">s en relief la </w:t>
      </w:r>
      <w:r w:rsidR="00AA6369" w:rsidRPr="00116225">
        <w:rPr>
          <w:lang w:val="fr-FR"/>
        </w:rPr>
        <w:t>co-construction</w:t>
      </w:r>
      <w:r w:rsidR="00AA6369">
        <w:rPr>
          <w:i/>
          <w:lang w:val="fr-FR"/>
        </w:rPr>
        <w:t xml:space="preserve"> démocratique</w:t>
      </w:r>
      <w:r w:rsidR="00AA6369">
        <w:rPr>
          <w:lang w:val="fr-FR"/>
        </w:rPr>
        <w:t xml:space="preserve"> des politiques publiques, pour bien la distinguer des formes </w:t>
      </w:r>
      <w:r>
        <w:rPr>
          <w:i/>
          <w:lang w:val="fr-FR"/>
        </w:rPr>
        <w:t xml:space="preserve">non </w:t>
      </w:r>
      <w:r w:rsidR="00AA6369">
        <w:rPr>
          <w:i/>
          <w:lang w:val="fr-FR"/>
        </w:rPr>
        <w:t xml:space="preserve">démocratiques </w:t>
      </w:r>
      <w:r w:rsidR="00AA6369">
        <w:rPr>
          <w:lang w:val="fr-FR"/>
        </w:rPr>
        <w:t xml:space="preserve">de co-construction. Par exemple, nous pouvons rencontrer une </w:t>
      </w:r>
      <w:r w:rsidR="00AA6369">
        <w:rPr>
          <w:i/>
          <w:lang w:val="fr-FR"/>
        </w:rPr>
        <w:t xml:space="preserve">co-construction corporatiste </w:t>
      </w:r>
      <w:r w:rsidR="00AA6369">
        <w:rPr>
          <w:lang w:val="fr-FR"/>
        </w:rPr>
        <w:t>des politiques publiques lorsque certaines parties prenantes de la société civile, jouissant habituellement de plus de capital économique et politique, participent au processus de décision politique, pendant que d’autres parties prenantes, jouissant habituellement de moins de capital économique et politique, sont exclues</w:t>
      </w:r>
      <w:r w:rsidR="00DA64C4">
        <w:rPr>
          <w:rStyle w:val="Marquenotebasdepage"/>
          <w:lang w:val="fr-FR"/>
        </w:rPr>
        <w:footnoteReference w:id="7"/>
      </w:r>
      <w:r w:rsidR="00AA6369">
        <w:rPr>
          <w:lang w:val="fr-FR"/>
        </w:rPr>
        <w:t xml:space="preserve">. </w:t>
      </w:r>
      <w:r w:rsidR="00432DBC">
        <w:rPr>
          <w:lang w:val="fr-FR"/>
        </w:rPr>
        <w:t>Un bon exemple au Canada renvoie aux consultations pré-budgétaires menées aux niveaux fédéral et provincial, dans lesquelles les organisations patronales et syndicales sont consultées systématiquement pendant que des associations qui représentent des groupes marginaux sont souvent ignorées. Au contraire, dans un processus démocratique de co-construction des</w:t>
      </w:r>
      <w:r w:rsidR="00056935">
        <w:rPr>
          <w:lang w:val="fr-FR"/>
        </w:rPr>
        <w:t xml:space="preserve"> politiques publiques, une grande</w:t>
      </w:r>
      <w:r w:rsidR="00432DBC">
        <w:rPr>
          <w:lang w:val="fr-FR"/>
        </w:rPr>
        <w:t xml:space="preserve"> diversité </w:t>
      </w:r>
      <w:r>
        <w:rPr>
          <w:lang w:val="fr-FR"/>
        </w:rPr>
        <w:t>de parties prenantes participe</w:t>
      </w:r>
      <w:r w:rsidR="00432DBC">
        <w:rPr>
          <w:lang w:val="fr-FR"/>
        </w:rPr>
        <w:t xml:space="preserve"> au processus de </w:t>
      </w:r>
      <w:r w:rsidR="00432DBC" w:rsidRPr="00432DBC">
        <w:rPr>
          <w:i/>
          <w:lang w:val="fr-FR"/>
        </w:rPr>
        <w:t>délibération démocratique</w:t>
      </w:r>
      <w:r w:rsidR="00EF26B1">
        <w:rPr>
          <w:lang w:val="fr-FR"/>
        </w:rPr>
        <w:t>, qui</w:t>
      </w:r>
      <w:r w:rsidR="00432DBC">
        <w:rPr>
          <w:i/>
          <w:lang w:val="fr-FR"/>
        </w:rPr>
        <w:t xml:space="preserve"> </w:t>
      </w:r>
      <w:r w:rsidR="00EF26B1">
        <w:rPr>
          <w:lang w:val="fr-FR"/>
        </w:rPr>
        <w:t xml:space="preserve">permet de développer des consensus en matière de politique publique et de prendre des décisions qui reflètent l’intérêt général. </w:t>
      </w:r>
      <w:r w:rsidR="001D7F0C">
        <w:rPr>
          <w:lang w:val="fr-FR"/>
        </w:rPr>
        <w:t xml:space="preserve">En d’autres mots, la participation citoyenne toute seule est insuffisante pour réaliser la co-construction démocratique des politiques publiques. </w:t>
      </w:r>
      <w:r w:rsidR="00BC6837">
        <w:rPr>
          <w:lang w:val="fr-FR"/>
        </w:rPr>
        <w:t xml:space="preserve">En effet, nous trouvons souvent dans nos sociétés une réelle participation citoyenne qui ne </w:t>
      </w:r>
      <w:r w:rsidR="00A76CC8">
        <w:rPr>
          <w:lang w:val="fr-FR"/>
        </w:rPr>
        <w:t>s’inscrit</w:t>
      </w:r>
      <w:r w:rsidR="00BC6837">
        <w:rPr>
          <w:lang w:val="fr-FR"/>
        </w:rPr>
        <w:t xml:space="preserve"> pas automatiquement à </w:t>
      </w:r>
      <w:r w:rsidR="00A76CC8">
        <w:rPr>
          <w:lang w:val="fr-FR"/>
        </w:rPr>
        <w:t>l’intérieur d’</w:t>
      </w:r>
      <w:r w:rsidR="00BC6837">
        <w:rPr>
          <w:lang w:val="fr-FR"/>
        </w:rPr>
        <w:t xml:space="preserve">une délibération publique </w:t>
      </w:r>
      <w:r w:rsidR="00A76CC8">
        <w:rPr>
          <w:lang w:val="fr-FR"/>
        </w:rPr>
        <w:t>qui débouche sur l’adoption d’une politique démocratique</w:t>
      </w:r>
      <w:r w:rsidR="00BC6837">
        <w:rPr>
          <w:lang w:val="fr-FR"/>
        </w:rPr>
        <w:t>.</w:t>
      </w:r>
    </w:p>
    <w:p w14:paraId="2C451C07" w14:textId="77777777" w:rsidR="00495AF7" w:rsidRPr="00495AF7" w:rsidRDefault="00495AF7" w:rsidP="00495AF7">
      <w:pPr>
        <w:rPr>
          <w:lang w:val="fr-FR"/>
        </w:rPr>
      </w:pPr>
    </w:p>
    <w:p w14:paraId="72510ABD" w14:textId="77777777" w:rsidR="00495AF7" w:rsidRPr="009B7F07" w:rsidRDefault="00495AF7" w:rsidP="00495AF7">
      <w:pPr>
        <w:pStyle w:val="Paragraphedeliste"/>
        <w:numPr>
          <w:ilvl w:val="0"/>
          <w:numId w:val="16"/>
        </w:numPr>
      </w:pPr>
      <w:r w:rsidRPr="009B7F07">
        <w:lastRenderedPageBreak/>
        <w:t>La co-construction des politiques publiques est une possibilité</w:t>
      </w:r>
      <w:r w:rsidR="008C3742" w:rsidRPr="009B7F07">
        <w:t xml:space="preserve"> principalement </w:t>
      </w:r>
      <w:r w:rsidR="008C3742" w:rsidRPr="009B7F07">
        <w:rPr>
          <w:i/>
        </w:rPr>
        <w:t xml:space="preserve">au moment de </w:t>
      </w:r>
      <w:r w:rsidR="00C434FF" w:rsidRPr="009B7F07">
        <w:rPr>
          <w:i/>
        </w:rPr>
        <w:t>leur</w:t>
      </w:r>
      <w:r w:rsidR="008C3742" w:rsidRPr="009B7F07">
        <w:rPr>
          <w:i/>
        </w:rPr>
        <w:t xml:space="preserve"> genèse</w:t>
      </w:r>
      <w:r w:rsidRPr="009B7F07">
        <w:t>,</w:t>
      </w:r>
      <w:r w:rsidR="008C3742" w:rsidRPr="009B7F07">
        <w:t xml:space="preserve"> mais pas seulement à ce moment-là. Elle est possible</w:t>
      </w:r>
      <w:r w:rsidRPr="009B7F07">
        <w:t xml:space="preserve"> </w:t>
      </w:r>
      <w:r w:rsidR="008C3742" w:rsidRPr="009B7F07">
        <w:t xml:space="preserve">aussi, aux moments de </w:t>
      </w:r>
      <w:r w:rsidR="008C3742" w:rsidRPr="009B7F07">
        <w:rPr>
          <w:i/>
        </w:rPr>
        <w:t>l’évalu</w:t>
      </w:r>
      <w:r w:rsidRPr="009B7F07">
        <w:rPr>
          <w:i/>
        </w:rPr>
        <w:t>ation</w:t>
      </w:r>
      <w:r w:rsidRPr="009B7F07">
        <w:t xml:space="preserve"> des politiques, </w:t>
      </w:r>
      <w:r w:rsidR="008C3742" w:rsidRPr="009B7F07">
        <w:t xml:space="preserve">de </w:t>
      </w:r>
      <w:r w:rsidR="008C3742" w:rsidRPr="009B7F07">
        <w:rPr>
          <w:i/>
        </w:rPr>
        <w:t xml:space="preserve">l’examen </w:t>
      </w:r>
      <w:r w:rsidR="00F17A4F" w:rsidRPr="009B7F07">
        <w:rPr>
          <w:i/>
        </w:rPr>
        <w:t>du</w:t>
      </w:r>
      <w:r w:rsidRPr="009B7F07">
        <w:t xml:space="preserve"> </w:t>
      </w:r>
      <w:r w:rsidRPr="009B7F07">
        <w:rPr>
          <w:i/>
        </w:rPr>
        <w:t>suivi</w:t>
      </w:r>
      <w:r w:rsidR="008C3742" w:rsidRPr="009B7F07">
        <w:t xml:space="preserve"> </w:t>
      </w:r>
      <w:r w:rsidRPr="009B7F07">
        <w:t>et</w:t>
      </w:r>
      <w:r w:rsidR="008C3742" w:rsidRPr="009B7F07">
        <w:t xml:space="preserve"> lors</w:t>
      </w:r>
      <w:r w:rsidRPr="009B7F07">
        <w:t xml:space="preserve"> </w:t>
      </w:r>
      <w:r w:rsidR="008C3742" w:rsidRPr="009B7F07">
        <w:t>des exercices de</w:t>
      </w:r>
      <w:r w:rsidR="00AC53EF" w:rsidRPr="009B7F07">
        <w:t xml:space="preserve"> </w:t>
      </w:r>
      <w:r w:rsidR="00AC53EF" w:rsidRPr="009B7F07">
        <w:rPr>
          <w:i/>
        </w:rPr>
        <w:t>contrôle et de</w:t>
      </w:r>
      <w:r w:rsidRPr="009B7F07">
        <w:t xml:space="preserve"> </w:t>
      </w:r>
      <w:r w:rsidRPr="009B7F07">
        <w:rPr>
          <w:i/>
        </w:rPr>
        <w:t>reddition de comptes</w:t>
      </w:r>
      <w:r w:rsidR="00F17A4F" w:rsidRPr="009B7F07">
        <w:rPr>
          <w:rStyle w:val="Marquenotebasdepage"/>
          <w:i/>
        </w:rPr>
        <w:footnoteReference w:id="8"/>
      </w:r>
      <w:r w:rsidRPr="009B7F07">
        <w:t>.</w:t>
      </w:r>
      <w:r w:rsidR="008C3742" w:rsidRPr="009B7F07">
        <w:t xml:space="preserve"> Elle est possible même au moment de la mise en application des politiques, dans la mesure où</w:t>
      </w:r>
      <w:r w:rsidR="009B7F07">
        <w:t xml:space="preserve"> de nouveaux espaces de débat</w:t>
      </w:r>
      <w:r w:rsidR="0007449E">
        <w:t xml:space="preserve"> et de participation citoyenne peuvent s’ouvrir à divers moments pour établir des plans de mise en oeuvre</w:t>
      </w:r>
      <w:r w:rsidR="008C3742" w:rsidRPr="009B7F07">
        <w:t>.</w:t>
      </w:r>
      <w:r w:rsidR="00C434FF" w:rsidRPr="009B7F07">
        <w:t xml:space="preserve"> </w:t>
      </w:r>
    </w:p>
    <w:p w14:paraId="2A15D877" w14:textId="77777777" w:rsidR="008C3742" w:rsidRDefault="008C3742" w:rsidP="008C3742"/>
    <w:p w14:paraId="231E24F9" w14:textId="77777777" w:rsidR="0083114C" w:rsidRDefault="0083114C" w:rsidP="0083114C">
      <w:pPr>
        <w:pStyle w:val="Paragraphedeliste"/>
        <w:numPr>
          <w:ilvl w:val="0"/>
          <w:numId w:val="16"/>
        </w:numPr>
      </w:pPr>
      <w:r w:rsidRPr="00676D52">
        <w:rPr>
          <w:i/>
        </w:rPr>
        <w:t xml:space="preserve">La </w:t>
      </w:r>
      <w:r w:rsidR="00676D52" w:rsidRPr="00676D52">
        <w:rPr>
          <w:i/>
        </w:rPr>
        <w:t xml:space="preserve">participation de l’ESS à la </w:t>
      </w:r>
      <w:r w:rsidRPr="00676D52">
        <w:rPr>
          <w:i/>
        </w:rPr>
        <w:t>co-construction</w:t>
      </w:r>
      <w:r w:rsidR="00AC53EF">
        <w:rPr>
          <w:i/>
        </w:rPr>
        <w:t xml:space="preserve"> démocratique</w:t>
      </w:r>
      <w:r w:rsidRPr="00676D52">
        <w:rPr>
          <w:i/>
        </w:rPr>
        <w:t xml:space="preserve"> des politiques est</w:t>
      </w:r>
      <w:r>
        <w:t xml:space="preserve"> </w:t>
      </w:r>
      <w:r w:rsidRPr="00676D52">
        <w:rPr>
          <w:i/>
        </w:rPr>
        <w:t xml:space="preserve">une possibilité sur le plan </w:t>
      </w:r>
      <w:r w:rsidRPr="006F37A4">
        <w:rPr>
          <w:i/>
        </w:rPr>
        <w:t>territorial</w:t>
      </w:r>
      <w:r w:rsidR="00C434FF" w:rsidRPr="006F37A4">
        <w:rPr>
          <w:i/>
        </w:rPr>
        <w:t xml:space="preserve"> </w:t>
      </w:r>
      <w:r w:rsidRPr="006F37A4">
        <w:rPr>
          <w:i/>
        </w:rPr>
        <w:t>ou</w:t>
      </w:r>
      <w:r w:rsidRPr="00676D52">
        <w:rPr>
          <w:i/>
        </w:rPr>
        <w:t xml:space="preserve"> sur le plan sectoriel</w:t>
      </w:r>
      <w:r>
        <w:t xml:space="preserve">. Il est rare que l’ensemble de la politique d’un gouvernement </w:t>
      </w:r>
      <w:r w:rsidR="00676D52">
        <w:t>national</w:t>
      </w:r>
      <w:r>
        <w:t xml:space="preserve"> puisse être co-construite. Tout de même, cela peut arriver</w:t>
      </w:r>
      <w:r w:rsidR="00676D52">
        <w:t>,</w:t>
      </w:r>
      <w:r>
        <w:t xml:space="preserve"> à un moment particulier de l’histoire d’un pays, comme ce fut le cas, par exemple en Équateur, en 2007 et 2008, au moment de la préparation d’une nouvelle constitution à partir d’une assemblée constituante et comme cela pourrait être le cas au Chili en 2014 </w:t>
      </w:r>
      <w:r w:rsidR="00E64ACC">
        <w:t>et 2015, avec le retour de Michel</w:t>
      </w:r>
      <w:r>
        <w:t xml:space="preserve">le Bachelet à la présidence du pays dans une conjoncture tout à fait nouvelle. Mais il demeure plus facile de repérer des cas concrets de participation de l’ESS à des processus de co-construction démocratique des politiques publiques quand on est attentif à ce qui se passe dans certaines sociétés au niveau </w:t>
      </w:r>
      <w:r w:rsidR="005B667D">
        <w:t>local, régional ou sectoriel. Nous pensons</w:t>
      </w:r>
      <w:r>
        <w:t xml:space="preserve"> ici à </w:t>
      </w:r>
      <w:r w:rsidRPr="006F37A4">
        <w:t>des exemples</w:t>
      </w:r>
      <w:r w:rsidR="00676D52" w:rsidRPr="006F37A4">
        <w:t xml:space="preserve"> </w:t>
      </w:r>
      <w:r w:rsidRPr="006F37A4">
        <w:t>de</w:t>
      </w:r>
      <w:r>
        <w:t xml:space="preserve"> co-construction démocratique des politiques municipales </w:t>
      </w:r>
      <w:r w:rsidR="00676D52">
        <w:t>dans certaines villes ou région</w:t>
      </w:r>
      <w:r w:rsidR="00910655">
        <w:t>s</w:t>
      </w:r>
      <w:r w:rsidR="005B667D">
        <w:t xml:space="preserve"> de la France et du Brésil. Nous pensons</w:t>
      </w:r>
      <w:r w:rsidR="00676D52">
        <w:t xml:space="preserve"> aussi à des exemples sectoriels</w:t>
      </w:r>
      <w:r>
        <w:t xml:space="preserve"> </w:t>
      </w:r>
      <w:r w:rsidR="00676D52">
        <w:t xml:space="preserve">de participation de l’ESS à la co-construction </w:t>
      </w:r>
      <w:r w:rsidR="00676D52" w:rsidRPr="006F37A4">
        <w:t xml:space="preserve">de </w:t>
      </w:r>
      <w:r w:rsidR="00C434FF" w:rsidRPr="006F37A4">
        <w:t xml:space="preserve">certaines </w:t>
      </w:r>
      <w:r w:rsidR="00676D52" w:rsidRPr="006F37A4">
        <w:t>politiques particulières</w:t>
      </w:r>
      <w:r w:rsidR="00C434FF" w:rsidRPr="006F37A4">
        <w:t>, tel</w:t>
      </w:r>
      <w:r w:rsidR="006F37A4">
        <w:t>le</w:t>
      </w:r>
      <w:r w:rsidR="00C434FF" w:rsidRPr="006F37A4">
        <w:t>s les</w:t>
      </w:r>
      <w:r w:rsidR="00676D52" w:rsidRPr="006F37A4">
        <w:t xml:space="preserve"> politiques </w:t>
      </w:r>
      <w:r w:rsidR="00C434FF" w:rsidRPr="006F37A4">
        <w:t>pour le</w:t>
      </w:r>
      <w:r w:rsidR="006F37A4">
        <w:t>s</w:t>
      </w:r>
      <w:r w:rsidR="00C434FF" w:rsidRPr="006F37A4">
        <w:t xml:space="preserve"> familles </w:t>
      </w:r>
      <w:r w:rsidR="00910655" w:rsidRPr="006F37A4">
        <w:t>ou</w:t>
      </w:r>
      <w:r w:rsidR="00676D52" w:rsidRPr="006F37A4">
        <w:t xml:space="preserve"> </w:t>
      </w:r>
      <w:r w:rsidR="00C434FF" w:rsidRPr="006F37A4">
        <w:t>le</w:t>
      </w:r>
      <w:r w:rsidRPr="006F37A4">
        <w:t xml:space="preserve"> logement social</w:t>
      </w:r>
      <w:r>
        <w:t xml:space="preserve"> </w:t>
      </w:r>
      <w:r w:rsidR="00676D52">
        <w:t>comme nous en avons connu</w:t>
      </w:r>
      <w:r w:rsidR="00137DB9">
        <w:t>e</w:t>
      </w:r>
      <w:r w:rsidR="00676D52">
        <w:t>s au Québec au cours des deux dernières décennies</w:t>
      </w:r>
      <w:r>
        <w:t xml:space="preserve">. </w:t>
      </w:r>
    </w:p>
    <w:p w14:paraId="567D32D5" w14:textId="77777777" w:rsidR="00FA199B" w:rsidRDefault="00FA199B" w:rsidP="00FA199B"/>
    <w:p w14:paraId="1C13EF12" w14:textId="77777777" w:rsidR="00021882" w:rsidRPr="00021882" w:rsidRDefault="00ED7884" w:rsidP="00021882">
      <w:pPr>
        <w:pStyle w:val="Paragraphedeliste"/>
        <w:numPr>
          <w:ilvl w:val="0"/>
          <w:numId w:val="16"/>
        </w:numPr>
        <w:rPr>
          <w:lang w:val="fr-FR"/>
        </w:rPr>
      </w:pPr>
      <w:r>
        <w:t xml:space="preserve">Il n’y a pas lieu de se le cacher, </w:t>
      </w:r>
      <w:r w:rsidR="00FA199B">
        <w:t>à un moment ou l’autre,</w:t>
      </w:r>
      <w:r>
        <w:t xml:space="preserve"> </w:t>
      </w:r>
      <w:r w:rsidRPr="00FA199B">
        <w:rPr>
          <w:i/>
        </w:rPr>
        <w:t>la co-construction</w:t>
      </w:r>
      <w:r w:rsidR="00FA199B" w:rsidRPr="00FA199B">
        <w:rPr>
          <w:i/>
        </w:rPr>
        <w:t xml:space="preserve"> démocratique</w:t>
      </w:r>
      <w:r w:rsidRPr="00FA199B">
        <w:rPr>
          <w:i/>
        </w:rPr>
        <w:t xml:space="preserve"> </w:t>
      </w:r>
      <w:r w:rsidR="00FA199B" w:rsidRPr="00FA199B">
        <w:rPr>
          <w:i/>
        </w:rPr>
        <w:t>est à la fois un dialogue, une délibération, une négociation et une</w:t>
      </w:r>
      <w:r w:rsidR="00FA199B">
        <w:t xml:space="preserve"> </w:t>
      </w:r>
      <w:r w:rsidR="00FA199B" w:rsidRPr="00FA199B">
        <w:rPr>
          <w:i/>
        </w:rPr>
        <w:t xml:space="preserve">lutte pour le </w:t>
      </w:r>
      <w:r w:rsidRPr="00FA199B">
        <w:rPr>
          <w:i/>
        </w:rPr>
        <w:t>partage du pouvoir</w:t>
      </w:r>
      <w:r w:rsidR="00FA199B">
        <w:t xml:space="preserve">. </w:t>
      </w:r>
      <w:r>
        <w:t xml:space="preserve"> </w:t>
      </w:r>
      <w:r w:rsidR="00FA199B">
        <w:t xml:space="preserve">En gros, la délibération inhérente à la co-construction démocratique se déploie à trois niveaux. </w:t>
      </w:r>
      <w:r w:rsidR="00C434FF" w:rsidRPr="006F37A4">
        <w:t>Premièrement, e</w:t>
      </w:r>
      <w:r w:rsidR="00FA199B" w:rsidRPr="006F37A4">
        <w:t>lle</w:t>
      </w:r>
      <w:r w:rsidR="00FA199B">
        <w:t xml:space="preserve"> se déroule </w:t>
      </w:r>
      <w:r>
        <w:t>entre la société civile et la société politique</w:t>
      </w:r>
      <w:r w:rsidR="00FA199B">
        <w:t xml:space="preserve"> puisque si l’une de ces deux entités </w:t>
      </w:r>
      <w:r w:rsidR="00C434FF" w:rsidRPr="006F37A4">
        <w:t>est absente</w:t>
      </w:r>
      <w:r w:rsidR="00FA199B">
        <w:t>, il n’y a tout simplement pas de co-construction, c</w:t>
      </w:r>
      <w:r>
        <w:t xml:space="preserve">e qui ne veut pas dire que la relation </w:t>
      </w:r>
      <w:r w:rsidR="00FA199B">
        <w:t>doit être</w:t>
      </w:r>
      <w:r>
        <w:t xml:space="preserve"> symétrique</w:t>
      </w:r>
      <w:r w:rsidR="00A25284">
        <w:rPr>
          <w:rStyle w:val="Marquenotebasdepage"/>
        </w:rPr>
        <w:footnoteReference w:id="9"/>
      </w:r>
      <w:r>
        <w:t xml:space="preserve">. </w:t>
      </w:r>
      <w:r w:rsidR="00905627">
        <w:t xml:space="preserve">Il faut être deux pour danser le tango. La co-construction démocratique implique une rencontre </w:t>
      </w:r>
      <w:r w:rsidR="00C434FF" w:rsidRPr="006F37A4">
        <w:t>véritable</w:t>
      </w:r>
      <w:r w:rsidR="00905627">
        <w:t xml:space="preserve"> entre la dynamique de la démocratie représentative et celle de la démocratie </w:t>
      </w:r>
      <w:r w:rsidR="00D658CF">
        <w:lastRenderedPageBreak/>
        <w:t xml:space="preserve">participative. </w:t>
      </w:r>
      <w:r w:rsidR="00C434FF" w:rsidRPr="00A20179">
        <w:t>Deuxièmement, elle</w:t>
      </w:r>
      <w:r w:rsidR="00FA199B">
        <w:t xml:space="preserve"> se déroule au sein même de la société politique</w:t>
      </w:r>
      <w:r w:rsidR="00E66F3A">
        <w:t xml:space="preserve"> avec des configurations qui peuvent varier selon les formes de partage du pouvoir et de coopération qui s’instaurent ou ne s’instaurent pas en</w:t>
      </w:r>
      <w:r w:rsidR="007C6AE3">
        <w:t>tre l’exécutif et le législatif</w:t>
      </w:r>
      <w:r w:rsidR="007C6AE3">
        <w:rPr>
          <w:rStyle w:val="Marquenotebasdepage"/>
        </w:rPr>
        <w:footnoteReference w:id="10"/>
      </w:r>
      <w:r w:rsidR="00E66F3A">
        <w:t xml:space="preserve">, entre le parti politique au pouvoir et les autres partis </w:t>
      </w:r>
      <w:r w:rsidR="00C434FF" w:rsidRPr="00A20179">
        <w:t>d’</w:t>
      </w:r>
      <w:r w:rsidR="00E66F3A" w:rsidRPr="00A20179">
        <w:t>oppositio</w:t>
      </w:r>
      <w:r w:rsidR="00E66F3A">
        <w:t>n</w:t>
      </w:r>
      <w:r w:rsidR="00EE0E1A">
        <w:rPr>
          <w:rStyle w:val="Marquenotebasdepage"/>
        </w:rPr>
        <w:footnoteReference w:id="11"/>
      </w:r>
      <w:r w:rsidR="00E66F3A">
        <w:t xml:space="preserve">, entre les élus et la fonction publique, entre les élus et le pouvoir judiciaire. </w:t>
      </w:r>
      <w:r w:rsidR="00C434FF" w:rsidRPr="00956266">
        <w:t>Troisièmement, elle</w:t>
      </w:r>
      <w:r w:rsidR="00E66F3A">
        <w:t xml:space="preserve"> se déroule au sein même de la société civile avec des configurations qui peuvent varier selon les débats et </w:t>
      </w:r>
      <w:r w:rsidR="00C434FF" w:rsidRPr="00956266">
        <w:t xml:space="preserve">les </w:t>
      </w:r>
      <w:r w:rsidR="00E66F3A" w:rsidRPr="00956266">
        <w:t>luttes</w:t>
      </w:r>
      <w:r w:rsidR="00E66F3A">
        <w:t xml:space="preserve"> qui </w:t>
      </w:r>
      <w:r w:rsidR="00591CFB" w:rsidRPr="00956266">
        <w:t>se manifestent</w:t>
      </w:r>
      <w:r w:rsidR="00E66F3A">
        <w:t xml:space="preserve"> entre les diverses parties prenantes et au sein de chaque partie prenante. Dans ce contexte, l’ensemble des composantes de l’ESS constitue une partie prenante et il importe de rappeler que la co-construction et les débats commencent</w:t>
      </w:r>
      <w:r w:rsidR="00734F5E">
        <w:t xml:space="preserve"> d’abord</w:t>
      </w:r>
      <w:r w:rsidR="00E66F3A">
        <w:t xml:space="preserve"> au sein même de l’ESS. </w:t>
      </w:r>
    </w:p>
    <w:p w14:paraId="43C74946" w14:textId="77777777" w:rsidR="000A6D18" w:rsidRPr="000A6D18" w:rsidRDefault="000A6D18" w:rsidP="000A6D18">
      <w:pPr>
        <w:rPr>
          <w:lang w:val="fr-FR"/>
        </w:rPr>
      </w:pPr>
    </w:p>
    <w:p w14:paraId="4F52E410" w14:textId="77777777" w:rsidR="000A6D18" w:rsidRDefault="000A6D18" w:rsidP="000A6D18">
      <w:pPr>
        <w:pStyle w:val="Paragraphedeliste"/>
        <w:numPr>
          <w:ilvl w:val="0"/>
          <w:numId w:val="16"/>
        </w:numPr>
      </w:pPr>
      <w:r w:rsidRPr="000A6D18">
        <w:rPr>
          <w:i/>
        </w:rPr>
        <w:t>La participation de l’ESS est une condition nécessaire pour qu’il y ait co-construction démocratique des politiques publiques, mais ce n’est pas une condition suffisante.</w:t>
      </w:r>
      <w:r>
        <w:t xml:space="preserve"> Il se peut que la co-construction à laquelle participe l’ESS soit corporatiste plus que démocratique si certaines composantes de l’ESS veulent s</w:t>
      </w:r>
      <w:r w:rsidR="00AC4620">
        <w:t>e l</w:t>
      </w:r>
      <w:r>
        <w:t xml:space="preserve">’accaparer au détriment d’autres composantes de l’ESS et d’autres parties prenantes de la société civile. Sans participation de l’ESS dans la délibération, il manque une condition pour que la délibération soit démocratique. Mais la seule participation de l’ESS dans une délibération démocratique n’est pas une condition suffisante pour que cette participation et cette délibération </w:t>
      </w:r>
      <w:r w:rsidR="00591CFB" w:rsidRPr="00124913">
        <w:t>mènent à</w:t>
      </w:r>
      <w:r w:rsidRPr="00124913">
        <w:t xml:space="preserve"> la</w:t>
      </w:r>
      <w:r>
        <w:t xml:space="preserve"> construction de </w:t>
      </w:r>
      <w:r w:rsidR="00591CFB" w:rsidRPr="00124913">
        <w:t>politiques publiques</w:t>
      </w:r>
      <w:r w:rsidRPr="00124913">
        <w:t xml:space="preserve"> démocratique</w:t>
      </w:r>
      <w:r w:rsidR="00F5285B" w:rsidRPr="00124913">
        <w:t>s.</w:t>
      </w:r>
      <w:r w:rsidR="00F5285B">
        <w:t xml:space="preserve"> Pour nous</w:t>
      </w:r>
      <w:r>
        <w:t>, la co-construction démocratique des politiques doit être recherchée dans le but d’améliorer</w:t>
      </w:r>
      <w:r w:rsidR="00734F5E">
        <w:t xml:space="preserve"> non seulement</w:t>
      </w:r>
      <w:r>
        <w:t xml:space="preserve"> les processus, mais aussi les contenus des politiques. Comme le disent Adalbert Evers et Anne-Marie Guillemard dans </w:t>
      </w:r>
      <w:r w:rsidR="00003CB8">
        <w:t>la conclusion</w:t>
      </w:r>
      <w:r>
        <w:t xml:space="preserve"> d’un ouvrage récent : </w:t>
      </w:r>
      <w:r w:rsidRPr="00DB2ED1">
        <w:t xml:space="preserve">“Put simply, there is hardly any chance of good social policy in a ‘spoiled democracy’” (2013: 381). </w:t>
      </w:r>
      <w:r>
        <w:t xml:space="preserve"> Ou encore, comme </w:t>
      </w:r>
      <w:r w:rsidR="00003CB8">
        <w:t>le disent</w:t>
      </w:r>
      <w:r w:rsidR="00F5285B">
        <w:t xml:space="preserve"> deux chercheus</w:t>
      </w:r>
      <w:r>
        <w:t xml:space="preserve">es brésiliennes dans </w:t>
      </w:r>
      <w:r w:rsidR="00E60E7C">
        <w:t>un texte sur les b</w:t>
      </w:r>
      <w:r>
        <w:t xml:space="preserve">udgets participatifs, pour que la délibération conduise à l’amélioration des politiques, il faut </w:t>
      </w:r>
      <w:r w:rsidR="00E60E7C">
        <w:t>que l’on puisse</w:t>
      </w:r>
      <w:r>
        <w:t xml:space="preserve"> passer de la juxtaposition d’intérêts collectifs à la construction d’un intérêt général (Chavez et Albuquerque, 2006 :221).</w:t>
      </w:r>
    </w:p>
    <w:p w14:paraId="3A04074A" w14:textId="77777777" w:rsidR="003D044B" w:rsidRDefault="003D044B" w:rsidP="003D044B"/>
    <w:p w14:paraId="479874AE" w14:textId="77777777" w:rsidR="00A8225D" w:rsidRPr="00B954A0" w:rsidRDefault="00B719B6" w:rsidP="00A8225D">
      <w:pPr>
        <w:pStyle w:val="Paragraphedeliste"/>
        <w:numPr>
          <w:ilvl w:val="0"/>
          <w:numId w:val="16"/>
        </w:numPr>
      </w:pPr>
      <w:r w:rsidRPr="00B719B6">
        <w:rPr>
          <w:i/>
          <w:lang w:val="fr-FR"/>
        </w:rPr>
        <w:t>La co-construction n’existe pas sans conflits</w:t>
      </w:r>
      <w:r>
        <w:rPr>
          <w:lang w:val="fr-FR"/>
        </w:rPr>
        <w:t xml:space="preserve">. </w:t>
      </w:r>
      <w:r w:rsidR="003D044B">
        <w:t>Dans une perspective marxiste, ou de lutte de classes, il n’y a pas de place pour la co-construction, parce que la décision concernant le choix de la politique publique à instaurer se fait en éliminant les parties adverses plutô</w:t>
      </w:r>
      <w:r>
        <w:t>t qu’en délibérant avec elles. Dans une telle perspective, l</w:t>
      </w:r>
      <w:r w:rsidR="003D044B">
        <w:t>’ennemi de classe doit être</w:t>
      </w:r>
      <w:r>
        <w:t xml:space="preserve"> tassé ou éliminé</w:t>
      </w:r>
      <w:r w:rsidR="003D044B">
        <w:t xml:space="preserve">. </w:t>
      </w:r>
      <w:r>
        <w:t xml:space="preserve">Par contre, dans </w:t>
      </w:r>
      <w:r w:rsidR="00991F4E">
        <w:t>la</w:t>
      </w:r>
      <w:r>
        <w:t xml:space="preserve"> co-construction démocratique,</w:t>
      </w:r>
      <w:r w:rsidR="003D044B">
        <w:t xml:space="preserve"> le conflit</w:t>
      </w:r>
      <w:r>
        <w:t xml:space="preserve"> ne disparai</w:t>
      </w:r>
      <w:r w:rsidR="003D044B">
        <w:t>t</w:t>
      </w:r>
      <w:r>
        <w:t xml:space="preserve"> pas</w:t>
      </w:r>
      <w:r w:rsidR="003D044B">
        <w:t xml:space="preserve">. </w:t>
      </w:r>
      <w:r>
        <w:rPr>
          <w:lang w:val="fr-FR"/>
        </w:rPr>
        <w:t xml:space="preserve">La délibération « permet </w:t>
      </w:r>
      <w:r w:rsidR="00991F4E">
        <w:rPr>
          <w:lang w:val="fr-FR"/>
        </w:rPr>
        <w:t xml:space="preserve">de </w:t>
      </w:r>
      <w:r w:rsidR="000C76C6" w:rsidRPr="00124913">
        <w:rPr>
          <w:lang w:val="fr-FR"/>
        </w:rPr>
        <w:t>résoudre</w:t>
      </w:r>
      <w:r w:rsidR="00991F4E">
        <w:rPr>
          <w:lang w:val="fr-FR"/>
        </w:rPr>
        <w:t xml:space="preserve"> les conflits à partir du dialogue</w:t>
      </w:r>
      <w:r w:rsidR="003D044B">
        <w:rPr>
          <w:lang w:val="fr-FR"/>
        </w:rPr>
        <w:t> » (Chavez Teixeira et Albuquerque, 2006 : 193). Quand on parle de dialogue</w:t>
      </w:r>
      <w:r w:rsidR="00991F4E">
        <w:rPr>
          <w:lang w:val="fr-FR"/>
        </w:rPr>
        <w:t>,</w:t>
      </w:r>
      <w:r w:rsidR="003D044B">
        <w:rPr>
          <w:lang w:val="fr-FR"/>
        </w:rPr>
        <w:t xml:space="preserve"> au sein </w:t>
      </w:r>
      <w:r w:rsidR="003D044B">
        <w:rPr>
          <w:lang w:val="fr-FR"/>
        </w:rPr>
        <w:lastRenderedPageBreak/>
        <w:t>même de la société civile ou de la société politique, ou entre la société politique et la société civile, on le sait, à moins de verser dans l’angélisme, cela ne va pas sans tensions et c</w:t>
      </w:r>
      <w:r w:rsidR="00991F4E">
        <w:rPr>
          <w:lang w:val="fr-FR"/>
        </w:rPr>
        <w:t xml:space="preserve">onflits. De toute manière, </w:t>
      </w:r>
      <w:r w:rsidR="00F5285B">
        <w:rPr>
          <w:lang w:val="fr-FR"/>
        </w:rPr>
        <w:t xml:space="preserve">de multiples visions et </w:t>
      </w:r>
      <w:r w:rsidR="003D044B">
        <w:rPr>
          <w:lang w:val="fr-FR"/>
        </w:rPr>
        <w:t>intérêts</w:t>
      </w:r>
      <w:r w:rsidR="00991F4E">
        <w:rPr>
          <w:lang w:val="fr-FR"/>
        </w:rPr>
        <w:t xml:space="preserve"> doivent se rencontrer, s’entrechoquer</w:t>
      </w:r>
      <w:r w:rsidR="003D044B">
        <w:rPr>
          <w:lang w:val="fr-FR"/>
        </w:rPr>
        <w:t xml:space="preserve">. </w:t>
      </w:r>
      <w:r w:rsidR="00991F4E">
        <w:rPr>
          <w:lang w:val="fr-FR"/>
        </w:rPr>
        <w:t>L</w:t>
      </w:r>
      <w:r w:rsidR="003D044B">
        <w:rPr>
          <w:lang w:val="fr-FR"/>
        </w:rPr>
        <w:t>es arbi</w:t>
      </w:r>
      <w:r w:rsidR="00991F4E">
        <w:rPr>
          <w:lang w:val="fr-FR"/>
        </w:rPr>
        <w:t xml:space="preserve">trages permettent d’aplanir les différences, mais </w:t>
      </w:r>
      <w:r w:rsidR="00F21BBE">
        <w:rPr>
          <w:lang w:val="fr-FR"/>
        </w:rPr>
        <w:t>sans</w:t>
      </w:r>
      <w:r w:rsidR="00991F4E">
        <w:rPr>
          <w:lang w:val="fr-FR"/>
        </w:rPr>
        <w:t xml:space="preserve"> les faire </w:t>
      </w:r>
      <w:r w:rsidR="000C76C6" w:rsidRPr="00CD13EF">
        <w:rPr>
          <w:lang w:val="fr-FR"/>
        </w:rPr>
        <w:t>disparaître</w:t>
      </w:r>
      <w:r w:rsidR="00991F4E">
        <w:rPr>
          <w:lang w:val="fr-FR"/>
        </w:rPr>
        <w:t xml:space="preserve">. </w:t>
      </w:r>
      <w:r w:rsidR="00F21BBE">
        <w:rPr>
          <w:lang w:val="fr-FR"/>
        </w:rPr>
        <w:t>L</w:t>
      </w:r>
      <w:r w:rsidR="003D044B">
        <w:rPr>
          <w:lang w:val="fr-FR"/>
        </w:rPr>
        <w:t>es délibérations publiques</w:t>
      </w:r>
      <w:r w:rsidR="00F21BBE">
        <w:rPr>
          <w:lang w:val="fr-FR"/>
        </w:rPr>
        <w:t xml:space="preserve"> reliées à la co-construction ne cherchent pas à nier ou à cacher les conflits</w:t>
      </w:r>
      <w:r w:rsidR="003D044B">
        <w:rPr>
          <w:lang w:val="fr-FR"/>
        </w:rPr>
        <w:t xml:space="preserve">. </w:t>
      </w:r>
      <w:r w:rsidR="00F21BBE">
        <w:rPr>
          <w:lang w:val="fr-FR"/>
        </w:rPr>
        <w:t>Elles</w:t>
      </w:r>
      <w:r w:rsidR="003D044B">
        <w:rPr>
          <w:lang w:val="fr-FR"/>
        </w:rPr>
        <w:t xml:space="preserve"> leur </w:t>
      </w:r>
      <w:r w:rsidR="000C76C6" w:rsidRPr="00CD13EF">
        <w:rPr>
          <w:lang w:val="fr-FR"/>
        </w:rPr>
        <w:t>permettent</w:t>
      </w:r>
      <w:r w:rsidR="003D044B">
        <w:rPr>
          <w:lang w:val="fr-FR"/>
        </w:rPr>
        <w:t xml:space="preserve"> d’exister dans l’espace public (C</w:t>
      </w:r>
      <w:r w:rsidR="00B97C26">
        <w:rPr>
          <w:lang w:val="fr-FR"/>
        </w:rPr>
        <w:t>haves</w:t>
      </w:r>
      <w:r w:rsidR="003D044B">
        <w:rPr>
          <w:lang w:val="fr-FR"/>
        </w:rPr>
        <w:t xml:space="preserve"> Teixeira et Albuquerque, 2006 : 230). </w:t>
      </w:r>
      <w:r w:rsidR="00F21BBE">
        <w:rPr>
          <w:lang w:val="fr-FR"/>
        </w:rPr>
        <w:t>Il faut</w:t>
      </w:r>
      <w:r w:rsidR="003D044B">
        <w:rPr>
          <w:lang w:val="fr-FR"/>
        </w:rPr>
        <w:t xml:space="preserve"> les gérer </w:t>
      </w:r>
      <w:r w:rsidR="00F21BBE">
        <w:rPr>
          <w:lang w:val="fr-FR"/>
        </w:rPr>
        <w:t>sans les repousser dans les marges.</w:t>
      </w:r>
      <w:r w:rsidR="003D044B">
        <w:rPr>
          <w:lang w:val="fr-FR"/>
        </w:rPr>
        <w:t xml:space="preserve"> Les conflits dont il est question ici ne se limitent pas à ceux qui apparaissent dans la négociation entre la société politique et la société civile. Ce sont aussi ceux qui émergent dans la société politique et dans la société ci</w:t>
      </w:r>
      <w:r w:rsidR="00F21BBE">
        <w:rPr>
          <w:lang w:val="fr-FR"/>
        </w:rPr>
        <w:t>vile (ibid. :232), sans oublier</w:t>
      </w:r>
      <w:r w:rsidR="003D044B">
        <w:rPr>
          <w:lang w:val="fr-FR"/>
        </w:rPr>
        <w:t xml:space="preserve"> ceux qui apparaissent</w:t>
      </w:r>
      <w:r w:rsidR="00D64BA0">
        <w:rPr>
          <w:lang w:val="fr-FR"/>
        </w:rPr>
        <w:t xml:space="preserve"> et appellent</w:t>
      </w:r>
      <w:r w:rsidR="00CD13EF">
        <w:rPr>
          <w:lang w:val="fr-FR"/>
        </w:rPr>
        <w:t xml:space="preserve"> le débat</w:t>
      </w:r>
      <w:r w:rsidR="00D64BA0">
        <w:rPr>
          <w:lang w:val="fr-FR"/>
        </w:rPr>
        <w:t xml:space="preserve"> </w:t>
      </w:r>
      <w:r w:rsidR="000C76C6" w:rsidRPr="00CD13EF">
        <w:rPr>
          <w:lang w:val="fr-FR"/>
        </w:rPr>
        <w:t>au sein même</w:t>
      </w:r>
      <w:r w:rsidR="00F21BBE">
        <w:rPr>
          <w:lang w:val="fr-FR"/>
        </w:rPr>
        <w:t xml:space="preserve"> </w:t>
      </w:r>
      <w:r w:rsidR="003D044B">
        <w:rPr>
          <w:lang w:val="fr-FR"/>
        </w:rPr>
        <w:t xml:space="preserve">de l’ESS. </w:t>
      </w:r>
    </w:p>
    <w:p w14:paraId="3EC10609" w14:textId="77777777" w:rsidR="00B954A0" w:rsidRDefault="00B954A0" w:rsidP="00B954A0">
      <w:pPr>
        <w:pStyle w:val="Paragraphedeliste"/>
        <w:ind w:left="360"/>
        <w:rPr>
          <w:i/>
          <w:lang w:val="fr-FR"/>
        </w:rPr>
      </w:pPr>
    </w:p>
    <w:p w14:paraId="0E116469" w14:textId="77777777" w:rsidR="003C1D76" w:rsidRDefault="00B954A0" w:rsidP="00984241">
      <w:pPr>
        <w:pStyle w:val="Paragraphedeliste"/>
        <w:ind w:left="0"/>
      </w:pPr>
      <w:r>
        <w:rPr>
          <w:lang w:val="fr-FR"/>
        </w:rPr>
        <w:t>Il nous reste maintenant à mettre les balises théoriques que nous venons de présenter à l’épreuve des faits, à partir d’exemples de politiques publiques plus ou moins construites au Canada, au Québec et en Amérique latine.</w:t>
      </w:r>
    </w:p>
    <w:p w14:paraId="4C45BB27" w14:textId="77777777" w:rsidR="002C5B16" w:rsidRPr="00984241" w:rsidRDefault="00826526" w:rsidP="00984241">
      <w:pPr>
        <w:pStyle w:val="Titre1"/>
        <w:rPr>
          <w:color w:val="auto"/>
        </w:rPr>
      </w:pPr>
      <w:bookmarkStart w:id="9" w:name="_Toc405129026"/>
      <w:r w:rsidRPr="00984241">
        <w:rPr>
          <w:color w:val="auto"/>
        </w:rPr>
        <w:t>Partie 2</w:t>
      </w:r>
      <w:r w:rsidRPr="00984241">
        <w:rPr>
          <w:color w:val="auto"/>
        </w:rPr>
        <w:br/>
      </w:r>
      <w:r w:rsidR="008500C1" w:rsidRPr="00984241">
        <w:rPr>
          <w:color w:val="auto"/>
        </w:rPr>
        <w:t>ENSEIGNEMENTS TIRÉS</w:t>
      </w:r>
      <w:r w:rsidR="00002A03" w:rsidRPr="00984241">
        <w:rPr>
          <w:color w:val="auto"/>
        </w:rPr>
        <w:t xml:space="preserve"> DE DEUX</w:t>
      </w:r>
      <w:r w:rsidR="008500C1" w:rsidRPr="00984241">
        <w:rPr>
          <w:color w:val="auto"/>
        </w:rPr>
        <w:t xml:space="preserve"> EXPÉRIENCES CANADIENNES</w:t>
      </w:r>
      <w:bookmarkEnd w:id="9"/>
      <w:r w:rsidR="008500C1" w:rsidRPr="00984241">
        <w:rPr>
          <w:color w:val="auto"/>
        </w:rPr>
        <w:t xml:space="preserve"> </w:t>
      </w:r>
    </w:p>
    <w:p w14:paraId="2A29AB0D" w14:textId="77777777" w:rsidR="007852F7" w:rsidRDefault="007852F7" w:rsidP="008B2098">
      <w:r>
        <w:t xml:space="preserve">Au Canada, comme on est dans un système politique de type fédéral, il est bon de savoir que quand on parle de politiques publiques et possiblement de leur co-construction, il </w:t>
      </w:r>
      <w:r w:rsidR="006811DD">
        <w:t>faut rappeler que ces politiques</w:t>
      </w:r>
      <w:r>
        <w:t xml:space="preserve"> peuvent </w:t>
      </w:r>
      <w:r w:rsidR="000C76C6" w:rsidRPr="0000005B">
        <w:t>relever de</w:t>
      </w:r>
      <w:r>
        <w:t xml:space="preserve"> trois ordres de gouvernement, soit le gouvernement fédéral, les gouvernements provinciaux</w:t>
      </w:r>
      <w:r w:rsidR="00241F78">
        <w:t xml:space="preserve"> et territoriaux</w:t>
      </w:r>
      <w:r>
        <w:t xml:space="preserve"> (dont celui du Québec) et les g</w:t>
      </w:r>
      <w:r w:rsidR="0007348A">
        <w:t>ouvernements municipaux. Dans no</w:t>
      </w:r>
      <w:r>
        <w:t>s travaux de recherche théoriques et empiriques su</w:t>
      </w:r>
      <w:r w:rsidR="0007348A">
        <w:t>r la co-construction, nous nous sommes</w:t>
      </w:r>
      <w:r>
        <w:t xml:space="preserve"> </w:t>
      </w:r>
      <w:r w:rsidRPr="0000005B">
        <w:t>intéressé</w:t>
      </w:r>
      <w:r>
        <w:t xml:space="preserve"> particulièrement aux politiques publiques de l’État fédéral et à celles de l’État québécois.</w:t>
      </w:r>
      <w:r w:rsidR="0007348A">
        <w:t xml:space="preserve"> Notre</w:t>
      </w:r>
      <w:r w:rsidR="00DE48A7">
        <w:t xml:space="preserve"> intention dans le présent texte n’est pas de reprendre le détail </w:t>
      </w:r>
      <w:r w:rsidR="0007348A" w:rsidRPr="0000005B">
        <w:t>des analyses empiriques que nous avons</w:t>
      </w:r>
      <w:r w:rsidR="00DE48A7" w:rsidRPr="0000005B">
        <w:t xml:space="preserve"> </w:t>
      </w:r>
      <w:r w:rsidR="000C76C6" w:rsidRPr="0000005B">
        <w:t>menées et publiées</w:t>
      </w:r>
      <w:r w:rsidR="00DE48A7" w:rsidRPr="0000005B">
        <w:t>.</w:t>
      </w:r>
      <w:r w:rsidR="00DE48A7">
        <w:t xml:space="preserve"> Elle est plutôt de résumer à grands traits les principaux </w:t>
      </w:r>
      <w:r w:rsidR="00DE48A7" w:rsidRPr="0000005B">
        <w:t>constats de ces</w:t>
      </w:r>
      <w:r w:rsidR="00DE48A7">
        <w:t xml:space="preserve"> travaux</w:t>
      </w:r>
      <w:r w:rsidR="003112C2">
        <w:t xml:space="preserve"> (Vaillancourt, </w:t>
      </w:r>
      <w:r w:rsidR="00241F78">
        <w:t xml:space="preserve">2008, </w:t>
      </w:r>
      <w:r w:rsidR="003112C2">
        <w:t>2010, 2012 et 2014)</w:t>
      </w:r>
      <w:r w:rsidR="00DE48A7">
        <w:t xml:space="preserve">. </w:t>
      </w:r>
    </w:p>
    <w:p w14:paraId="1B93CA12" w14:textId="77777777" w:rsidR="00825823" w:rsidRDefault="00825823" w:rsidP="008B2098"/>
    <w:p w14:paraId="0FBBDECC" w14:textId="77777777" w:rsidR="00825823" w:rsidRDefault="00825823" w:rsidP="008B2098">
      <w:r>
        <w:t xml:space="preserve">Les deux expériences </w:t>
      </w:r>
      <w:r w:rsidR="005816C2">
        <w:t xml:space="preserve">canadiennes retenues relèvent de deux gouvernements </w:t>
      </w:r>
      <w:r w:rsidR="005816C2" w:rsidRPr="0000005B">
        <w:t>fédéraux qui se sont succéd</w:t>
      </w:r>
      <w:r w:rsidR="005816C2">
        <w:t xml:space="preserve">és, le premier dirigé par Jean Chrétien de 1993 à 2003, le second par Paul Martin de décembre 2003 à janvier 2006. Dans les deux cas, on avait affaire à un gouvernement du Parti libéral du Canada (PLC). La politique publique impulsée par le gouvernement de Chrétien, en 1999, s’appelait en anglais </w:t>
      </w:r>
      <w:r w:rsidR="005816C2">
        <w:rPr>
          <w:i/>
        </w:rPr>
        <w:t>Voluntary Sector Initiative</w:t>
      </w:r>
      <w:r w:rsidR="005816C2">
        <w:t xml:space="preserve"> (VSI). Cette politique visait à soutenir pendant cinq années, de 1999 à 2004, </w:t>
      </w:r>
      <w:r w:rsidR="00097602">
        <w:t xml:space="preserve">des associations du secteur bénévole et communautaire, c’est-à-dire des organisations qui, pour nous, font partie de l’ESS définie de manière inclusive ou du tiers secteur. </w:t>
      </w:r>
      <w:r w:rsidR="00FC16D5">
        <w:t xml:space="preserve">La deuxième politique, impulsée par le gouvernement Martin, en 2004, se présentait comme un Plan de soutien à l’économie sociale (PSES) qui devait durer cinq années, de 2005 à 2009. Cette politique, à la différence de la première, visait à soutenir des composantes marchandes de l’ESS. </w:t>
      </w:r>
      <w:r w:rsidR="00181E5F">
        <w:t>En dépit de l’importance dont elle</w:t>
      </w:r>
      <w:r w:rsidR="00E5668B">
        <w:t>s</w:t>
      </w:r>
      <w:r w:rsidR="00181E5F">
        <w:t xml:space="preserve"> jouissai</w:t>
      </w:r>
      <w:r w:rsidR="00E5668B">
        <w:t>en</w:t>
      </w:r>
      <w:r w:rsidR="00181E5F">
        <w:t>t au moment de leur lancement</w:t>
      </w:r>
      <w:r w:rsidR="004239CA">
        <w:t>, les deux politiques ont connu</w:t>
      </w:r>
      <w:r w:rsidR="00181E5F">
        <w:t xml:space="preserve"> une fin abrupte </w:t>
      </w:r>
      <w:r w:rsidR="000C76C6">
        <w:t xml:space="preserve">lors </w:t>
      </w:r>
      <w:r w:rsidR="000C76C6" w:rsidRPr="0000005B">
        <w:t>de</w:t>
      </w:r>
      <w:r w:rsidR="00181E5F" w:rsidRPr="0000005B">
        <w:t xml:space="preserve"> l’arrivée </w:t>
      </w:r>
      <w:r w:rsidR="000C76C6" w:rsidRPr="0000005B">
        <w:t>au pouvoir</w:t>
      </w:r>
      <w:r w:rsidR="000C76C6">
        <w:t xml:space="preserve"> </w:t>
      </w:r>
      <w:r w:rsidR="00181E5F">
        <w:t>d’un nouveau gouvernement. La politique du VSI</w:t>
      </w:r>
      <w:r w:rsidR="00832FB8">
        <w:t xml:space="preserve"> amorçait sa 5</w:t>
      </w:r>
      <w:r w:rsidR="00832FB8" w:rsidRPr="00832FB8">
        <w:rPr>
          <w:vertAlign w:val="superscript"/>
        </w:rPr>
        <w:t>e</w:t>
      </w:r>
      <w:r w:rsidR="00832FB8">
        <w:t xml:space="preserve"> et dernière année au moment de </w:t>
      </w:r>
      <w:r w:rsidR="00832FB8" w:rsidRPr="0000005B">
        <w:t>l</w:t>
      </w:r>
      <w:r w:rsidR="000C76C6" w:rsidRPr="0000005B">
        <w:t>’élection</w:t>
      </w:r>
      <w:r w:rsidR="00832FB8" w:rsidRPr="0000005B">
        <w:t xml:space="preserve"> du go</w:t>
      </w:r>
      <w:r w:rsidR="00832FB8">
        <w:t>uvernement Martin à la fin de</w:t>
      </w:r>
      <w:r w:rsidR="00523A4E">
        <w:t xml:space="preserve"> l’année</w:t>
      </w:r>
      <w:r w:rsidR="00832FB8">
        <w:t xml:space="preserve"> 2003. Dans les faits, le gouvernement Martin l’a pratiquement oubliée et la </w:t>
      </w:r>
      <w:r w:rsidR="00832FB8">
        <w:lastRenderedPageBreak/>
        <w:t>VSI s’est terminée en queue de poisson. La politique qui comptait</w:t>
      </w:r>
      <w:r w:rsidR="00AB393B">
        <w:t xml:space="preserve"> vraiment</w:t>
      </w:r>
      <w:r w:rsidR="00832FB8">
        <w:t xml:space="preserve"> pour le Premier Ministre Martin et retenait son enthousiasme, </w:t>
      </w:r>
      <w:r w:rsidR="00AB393B">
        <w:t xml:space="preserve">ce n’était pas la VSI, </w:t>
      </w:r>
      <w:r w:rsidR="00832FB8">
        <w:t>c’</w:t>
      </w:r>
      <w:r w:rsidR="004072D6">
        <w:t xml:space="preserve">était le PSES. </w:t>
      </w:r>
      <w:r w:rsidR="001E1655">
        <w:t xml:space="preserve">Or, </w:t>
      </w:r>
      <w:r w:rsidR="00574496">
        <w:t xml:space="preserve">plus </w:t>
      </w:r>
      <w:r w:rsidR="001E1655">
        <w:t xml:space="preserve">que celle du gouvernement Chrétien, la politique du gouvernement Martin a connu une fin </w:t>
      </w:r>
      <w:r w:rsidR="004239CA">
        <w:t xml:space="preserve">non seulement </w:t>
      </w:r>
      <w:r w:rsidR="00523A4E">
        <w:t xml:space="preserve">abrupte, mais </w:t>
      </w:r>
      <w:r w:rsidR="001E1655">
        <w:t>dramatique</w:t>
      </w:r>
      <w:r w:rsidR="00071EF2">
        <w:t>. Lors des élections</w:t>
      </w:r>
      <w:r w:rsidR="00523A4E">
        <w:t xml:space="preserve"> de janvier 2006, le PLC dirigé</w:t>
      </w:r>
      <w:r w:rsidR="00071EF2">
        <w:t xml:space="preserve"> par Paul Martin a été battu par le Parti conservateur du Canada (PCC) dirigé par Stephen Harper. À ce moment-là, le PSES n’avait vécu qu’une année s</w:t>
      </w:r>
      <w:r w:rsidR="00523A4E">
        <w:t>ur les cinq qui étaient prévu</w:t>
      </w:r>
      <w:r w:rsidR="00071EF2">
        <w:t xml:space="preserve">es. </w:t>
      </w:r>
      <w:r w:rsidR="00686020">
        <w:t>Comme le PSES ne plaisait pas au nouveau gouvernement Harper, ce dernier l’a</w:t>
      </w:r>
      <w:r w:rsidR="000C76C6">
        <w:t>,</w:t>
      </w:r>
      <w:r w:rsidR="00686020">
        <w:t xml:space="preserve"> </w:t>
      </w:r>
      <w:r w:rsidR="000C76C6">
        <w:t xml:space="preserve">à toutes fins utiles, </w:t>
      </w:r>
      <w:r w:rsidR="00686020">
        <w:t xml:space="preserve">abandonné en donnant suite </w:t>
      </w:r>
      <w:r w:rsidR="00B0097B" w:rsidRPr="0000005B">
        <w:t>qu’</w:t>
      </w:r>
      <w:r w:rsidR="00686020" w:rsidRPr="0000005B">
        <w:t>à</w:t>
      </w:r>
      <w:r w:rsidR="00523A4E">
        <w:t xml:space="preserve"> certaines de</w:t>
      </w:r>
      <w:r w:rsidR="00686020">
        <w:t xml:space="preserve"> ses composantes dont les modalités budgétaires étaient bien attachées</w:t>
      </w:r>
      <w:r w:rsidR="00A64443">
        <w:t>,</w:t>
      </w:r>
      <w:r w:rsidR="00686020">
        <w:t xml:space="preserve"> comme la Fiducie du Chantier de l’économie sociale au Québec et le programme de recherche partenariale sur l’économie sociale dans six régions canadiennes.</w:t>
      </w:r>
      <w:r w:rsidR="001E1655">
        <w:t xml:space="preserve"> </w:t>
      </w:r>
    </w:p>
    <w:p w14:paraId="355EEBD0" w14:textId="77777777" w:rsidR="002168C3" w:rsidRDefault="002168C3" w:rsidP="008B2098"/>
    <w:p w14:paraId="15894AC7" w14:textId="77777777" w:rsidR="002168C3" w:rsidRDefault="002168C3" w:rsidP="008B2098">
      <w:r>
        <w:t>Quels enseignements tirer de ces deux expériences en tenant compte de la problématique de la co-construction démocratique? Dans les deux cas, on a affaire à des politiques publiques qui ont été co-construites jusqu’à un certain point, mais qui n’ont pas pu être pérennisé</w:t>
      </w:r>
      <w:r w:rsidR="00616F3E">
        <w:t>e</w:t>
      </w:r>
      <w:r>
        <w:t xml:space="preserve">s. </w:t>
      </w:r>
      <w:r w:rsidR="0085262A">
        <w:t xml:space="preserve">Pourquoi? Parce que les modalités </w:t>
      </w:r>
      <w:r w:rsidR="00616F3E">
        <w:t>de</w:t>
      </w:r>
      <w:r w:rsidR="0085262A">
        <w:t xml:space="preserve"> leur co-constructi</w:t>
      </w:r>
      <w:r w:rsidR="00616F3E">
        <w:t xml:space="preserve">on les avaient laissées dans un </w:t>
      </w:r>
      <w:r w:rsidR="0085262A">
        <w:t>état de fragilité. Pourtant, dans les deux cas, les politiques ont été co-construites avec la participation d’acteurs politiques et d’acteurs de la société civile</w:t>
      </w:r>
      <w:r w:rsidR="006E30DB">
        <w:t xml:space="preserve">, dont certains acteurs de l’ESS. Toutefois, cette co-construction ne peut pas être qualifiée de pleinement démocratique dans la mesure elle a omis d’inclure une partie significative des acteurs de la société civile </w:t>
      </w:r>
      <w:r w:rsidR="006E30DB">
        <w:rPr>
          <w:rFonts w:ascii="Cambria" w:hAnsi="Cambria"/>
        </w:rPr>
        <w:t>—</w:t>
      </w:r>
      <w:r w:rsidR="006E30DB">
        <w:t>voire de l’ESS</w:t>
      </w:r>
      <w:r w:rsidR="006E30DB">
        <w:rPr>
          <w:rFonts w:ascii="Cambria" w:hAnsi="Cambria"/>
        </w:rPr>
        <w:t>— et de la société politique qui auraient pu et dû enrichir la délibération publique</w:t>
      </w:r>
      <w:r w:rsidR="006E30DB">
        <w:t xml:space="preserve">. </w:t>
      </w:r>
    </w:p>
    <w:p w14:paraId="4F068152" w14:textId="77777777" w:rsidR="006E30DB" w:rsidRDefault="006E30DB" w:rsidP="008B2098"/>
    <w:p w14:paraId="479BF623" w14:textId="77777777" w:rsidR="006E30DB" w:rsidRDefault="006E30DB" w:rsidP="008B2098">
      <w:r>
        <w:t>Paradoxalement, les deux politiques visaient</w:t>
      </w:r>
      <w:r w:rsidR="00707064">
        <w:t xml:space="preserve"> </w:t>
      </w:r>
      <w:r w:rsidR="00707064">
        <w:rPr>
          <w:i/>
        </w:rPr>
        <w:t>objectivement</w:t>
      </w:r>
      <w:r>
        <w:t xml:space="preserve"> le soutien à l’ESS et ont été préparées à partir d’un dialogue entre certains acteurs de l’ESS</w:t>
      </w:r>
      <w:r w:rsidR="00707064">
        <w:t xml:space="preserve"> et certains acteurs du PLC et du gouvernement fédéral. Mais, </w:t>
      </w:r>
      <w:r w:rsidR="00707064">
        <w:rPr>
          <w:i/>
        </w:rPr>
        <w:t>subjectivement</w:t>
      </w:r>
      <w:r w:rsidR="00707064">
        <w:t>, les acteurs de l’ESS et de la société politique impliqués dans la co-construction de la première et de la deuxième politique ne voyaient pas les liens entre l’une et l’autre. Les promoteurs socioéconomiques et politiques du VSI ne se sentaient pas concernés par le Plan de soutien à l’économie sociale et vice versa. D’où le constat à faire concernant l’une des conditions de la co-construction démocratique des politiques publiques. Elle doit commencer à l’intérieur même de l’ESS définie de manière large.</w:t>
      </w:r>
    </w:p>
    <w:p w14:paraId="453E8444" w14:textId="77777777" w:rsidR="00707064" w:rsidRDefault="00707064" w:rsidP="008B2098"/>
    <w:p w14:paraId="0A64FF98" w14:textId="77777777" w:rsidR="00707064" w:rsidRPr="00707064" w:rsidRDefault="00707064" w:rsidP="008B2098">
      <w:r>
        <w:t xml:space="preserve">Sur le plan des conditions liées à la participation de la société politique à la co-construction, un autre constat doit être fait. Dans les deux cas, la participation de la société politique se limite à </w:t>
      </w:r>
      <w:r w:rsidR="007744DF">
        <w:t>une participation de l’exécutif qui laisse de côté les acteurs du législatif. Pire encore, dans les deux cas, ce n’est pas le parti politique au pouvoir, le PLC, qui participe, mais une tendance au sein du PLC, soit la tendance Chrétien dans le premier cas et la tendance Martin dans le second. Donc, politiquem</w:t>
      </w:r>
      <w:r w:rsidR="00817DC6">
        <w:t xml:space="preserve">ent, les deux co-constructions </w:t>
      </w:r>
      <w:r w:rsidR="007744DF">
        <w:t xml:space="preserve">ont </w:t>
      </w:r>
      <w:r w:rsidR="00817DC6">
        <w:t xml:space="preserve">été </w:t>
      </w:r>
      <w:r w:rsidR="007744DF">
        <w:t xml:space="preserve">affaiblies </w:t>
      </w:r>
      <w:r w:rsidR="00805EEB">
        <w:t xml:space="preserve">dans la mesure où elles n’ont pas réussi à </w:t>
      </w:r>
      <w:r w:rsidR="007744DF">
        <w:t xml:space="preserve">incorporer dans la délibération publique la participation d’une section du parti politique au pouvoir de même que les partis d’opposition. </w:t>
      </w:r>
      <w:r w:rsidR="00805EEB">
        <w:t xml:space="preserve">En outre, elles sont affaiblies </w:t>
      </w:r>
      <w:r w:rsidR="00805EEB" w:rsidRPr="0000005B">
        <w:t>par le fait que</w:t>
      </w:r>
      <w:r w:rsidR="00805EEB">
        <w:t xml:space="preserve"> plusieurs acteurs de la société civile n’y avaient pas participé.</w:t>
      </w:r>
    </w:p>
    <w:p w14:paraId="5FAE2A5B" w14:textId="77777777" w:rsidR="007852F7" w:rsidRDefault="007852F7" w:rsidP="008B2098"/>
    <w:p w14:paraId="379BD17B" w14:textId="77777777" w:rsidR="00817DC6" w:rsidRDefault="00976417">
      <w:r>
        <w:lastRenderedPageBreak/>
        <w:t>Donc, les deux cas examinés nous enseignent que l</w:t>
      </w:r>
      <w:r w:rsidR="002C5B16">
        <w:t xml:space="preserve">es politiques publiques co-construites trop rapidement </w:t>
      </w:r>
      <w:r>
        <w:t xml:space="preserve">et </w:t>
      </w:r>
      <w:r w:rsidR="002C5B16">
        <w:t xml:space="preserve">sans </w:t>
      </w:r>
      <w:r>
        <w:t>l’inclusion</w:t>
      </w:r>
      <w:r w:rsidR="002C5B16">
        <w:t xml:space="preserve"> </w:t>
      </w:r>
      <w:r>
        <w:t xml:space="preserve">d’un nombre significatif </w:t>
      </w:r>
      <w:r w:rsidR="003112C2">
        <w:t xml:space="preserve"> d’acteurs</w:t>
      </w:r>
      <w:r w:rsidR="002C5B16">
        <w:t xml:space="preserve"> de la société civile et de la société politique</w:t>
      </w:r>
      <w:r>
        <w:t xml:space="preserve"> demeurent fragiles </w:t>
      </w:r>
      <w:r w:rsidR="009E7442">
        <w:t>et dotées d’une faible capacité de</w:t>
      </w:r>
      <w:r>
        <w:t xml:space="preserve"> pérennisation</w:t>
      </w:r>
      <w:r w:rsidR="00A71AEF">
        <w:t>.</w:t>
      </w:r>
    </w:p>
    <w:p w14:paraId="6FC02F27" w14:textId="77777777" w:rsidR="00002A03" w:rsidRPr="00984241" w:rsidRDefault="00984241" w:rsidP="00984241">
      <w:pPr>
        <w:pStyle w:val="Titre1"/>
        <w:rPr>
          <w:color w:val="auto"/>
        </w:rPr>
      </w:pPr>
      <w:bookmarkStart w:id="10" w:name="_Toc405129027"/>
      <w:r w:rsidRPr="00984241">
        <w:rPr>
          <w:color w:val="auto"/>
        </w:rPr>
        <w:t>Partie 3</w:t>
      </w:r>
      <w:r w:rsidRPr="00984241">
        <w:rPr>
          <w:color w:val="auto"/>
        </w:rPr>
        <w:br/>
      </w:r>
      <w:r w:rsidR="00002A03" w:rsidRPr="00984241">
        <w:rPr>
          <w:color w:val="auto"/>
        </w:rPr>
        <w:t>ENSEIGNEMENTS TIRÉS</w:t>
      </w:r>
      <w:r w:rsidR="00703C5A" w:rsidRPr="00984241">
        <w:rPr>
          <w:color w:val="auto"/>
        </w:rPr>
        <w:t xml:space="preserve"> DE SIX</w:t>
      </w:r>
      <w:r w:rsidR="00002A03" w:rsidRPr="00984241">
        <w:rPr>
          <w:color w:val="auto"/>
        </w:rPr>
        <w:t xml:space="preserve"> EXPÉRIENCES QUÉBÉCOISES</w:t>
      </w:r>
      <w:bookmarkEnd w:id="10"/>
    </w:p>
    <w:p w14:paraId="3ADDD258" w14:textId="77777777" w:rsidR="002D6501" w:rsidRDefault="00B0097B" w:rsidP="0077667A">
      <w:r w:rsidRPr="001879B1">
        <w:t>Comme nous l’avons souligné plus haut, d</w:t>
      </w:r>
      <w:r w:rsidR="002D6501" w:rsidRPr="001879B1">
        <w:t>ans</w:t>
      </w:r>
      <w:r w:rsidR="002D6501">
        <w:t xml:space="preserve"> le système fédéral canadien, il y a trois ordres de gouvernement. Le gouvernement fédéral, les gouvernements provinciaux et territoriaux (au nombre de 13), dont celui du Québec et, finalement, les go</w:t>
      </w:r>
      <w:r w:rsidR="0027173F">
        <w:t>uvernements municipaux. Parmi l</w:t>
      </w:r>
      <w:r w:rsidR="002D6501">
        <w:t xml:space="preserve">es </w:t>
      </w:r>
      <w:r w:rsidR="0027173F">
        <w:t xml:space="preserve">trois </w:t>
      </w:r>
      <w:r w:rsidR="002D6501">
        <w:t xml:space="preserve">ordres de gouvernements, ce sont les gouvernements provinciaux et municipaux qui, dans leurs pratiques et leurs politiques, entretiennent concrètement le plus d’interfaces </w:t>
      </w:r>
      <w:r w:rsidR="0060397D">
        <w:t xml:space="preserve">avec l’ESS, notamment sur le plan de planification et de l’administration des services aux collectivités locales. </w:t>
      </w:r>
      <w:r w:rsidR="004D2048">
        <w:t>Si bien que les acteurs de l’ESS occupent une place importante dans l’architecture des politiques publiques de l’État québéco</w:t>
      </w:r>
      <w:r w:rsidR="003D0369">
        <w:t xml:space="preserve">is, une place </w:t>
      </w:r>
      <w:r w:rsidR="003D0369" w:rsidRPr="001879B1">
        <w:t>qui a acquis</w:t>
      </w:r>
      <w:r w:rsidR="004D2048">
        <w:t xml:space="preserve"> une visibilité accrue au cours des 30 dernières années. </w:t>
      </w:r>
      <w:r w:rsidR="00FA3942">
        <w:t>Toutefois, en tenant comp</w:t>
      </w:r>
      <w:r w:rsidR="003D0369">
        <w:t>te de la distinction que nous faisons</w:t>
      </w:r>
      <w:r w:rsidR="00FA3942">
        <w:t xml:space="preserve"> entre la co-construction et la co-production, la question à surveiller devient la suivante : </w:t>
      </w:r>
      <w:r w:rsidRPr="001879B1">
        <w:t>e</w:t>
      </w:r>
      <w:r w:rsidR="00FA3942" w:rsidRPr="001879B1">
        <w:t>st</w:t>
      </w:r>
      <w:r w:rsidR="00FA3942">
        <w:t>-ce que la participation de l’ESS dans certaines politiques publiques relevant d</w:t>
      </w:r>
      <w:r w:rsidR="00470AE5">
        <w:t>e l’État québécois se cantonne</w:t>
      </w:r>
      <w:r w:rsidR="00FA3942">
        <w:t xml:space="preserve"> dans la co-production </w:t>
      </w:r>
      <w:r w:rsidRPr="003942D0">
        <w:t>(</w:t>
      </w:r>
      <w:r w:rsidR="00FA3942" w:rsidRPr="003942D0">
        <w:t>la mise en œuvre</w:t>
      </w:r>
      <w:r w:rsidRPr="003942D0">
        <w:t>)</w:t>
      </w:r>
      <w:r w:rsidR="00FA3942">
        <w:t xml:space="preserve"> de ces politiques? Ou bien, est-ce que cette participation se situe aussi</w:t>
      </w:r>
      <w:r w:rsidR="00315666">
        <w:t xml:space="preserve"> </w:t>
      </w:r>
      <w:r w:rsidRPr="003942D0">
        <w:t>dans</w:t>
      </w:r>
      <w:r w:rsidR="00315666">
        <w:t xml:space="preserve"> le registre de la co-construction, du moins à certains moments et dans c</w:t>
      </w:r>
      <w:r w:rsidR="00315666" w:rsidRPr="003942D0">
        <w:t>ertains</w:t>
      </w:r>
      <w:r w:rsidRPr="003942D0">
        <w:t xml:space="preserve"> dossiers</w:t>
      </w:r>
      <w:r w:rsidR="00315666" w:rsidRPr="003942D0">
        <w:t>?</w:t>
      </w:r>
      <w:r w:rsidR="00315666">
        <w:t xml:space="preserve"> Enfin, si c’est le cas, jusqu’à quel point la participation de l’ESS à la co-construction des politiques peut être qualifiée de démocratique?</w:t>
      </w:r>
    </w:p>
    <w:p w14:paraId="6ADB5873" w14:textId="77777777" w:rsidR="001F13B2" w:rsidRDefault="001F13B2" w:rsidP="0077667A"/>
    <w:p w14:paraId="7BDD35D9" w14:textId="77777777" w:rsidR="00272A92" w:rsidRDefault="001F13B2" w:rsidP="0077667A">
      <w:r>
        <w:t>Pour</w:t>
      </w:r>
      <w:r w:rsidR="00272A92">
        <w:t xml:space="preserve"> répondre à ces questions, nous nous appuyons</w:t>
      </w:r>
      <w:r>
        <w:t xml:space="preserve"> sur les conclusions des recherche</w:t>
      </w:r>
      <w:r w:rsidR="000B3AE4">
        <w:t xml:space="preserve">s que </w:t>
      </w:r>
      <w:r w:rsidR="00272A92">
        <w:t xml:space="preserve">nous avons </w:t>
      </w:r>
      <w:r w:rsidR="000B3AE4">
        <w:t xml:space="preserve">menées, souvent en collaboration avec d’autres chercheurs et intervenants sociaux, sur </w:t>
      </w:r>
      <w:r w:rsidR="000B3AE4" w:rsidRPr="000469FE">
        <w:rPr>
          <w:i/>
        </w:rPr>
        <w:t>six dossiers</w:t>
      </w:r>
      <w:r w:rsidR="000B3AE4">
        <w:t xml:space="preserve"> de politiques publiques dans lesquels les acteurs de l’ESS </w:t>
      </w:r>
      <w:r w:rsidR="00B0097B" w:rsidRPr="003942D0">
        <w:t>o</w:t>
      </w:r>
      <w:r w:rsidR="000B3AE4" w:rsidRPr="003942D0">
        <w:t>nt</w:t>
      </w:r>
      <w:r w:rsidR="000B3AE4">
        <w:t xml:space="preserve"> une participation significative, selon des modalités et dans des configurations qui varient. </w:t>
      </w:r>
    </w:p>
    <w:p w14:paraId="7067D29F" w14:textId="77777777" w:rsidR="00272A92" w:rsidRDefault="00272A92" w:rsidP="0077667A"/>
    <w:p w14:paraId="5A08034A" w14:textId="77777777" w:rsidR="001404EA" w:rsidRDefault="008915E9" w:rsidP="0077667A">
      <w:r>
        <w:t xml:space="preserve">Ces dossiers sont les suivants : </w:t>
      </w:r>
    </w:p>
    <w:p w14:paraId="00730C85" w14:textId="77777777" w:rsidR="00684558" w:rsidRDefault="00684558" w:rsidP="0077667A"/>
    <w:p w14:paraId="58B40D9A" w14:textId="77777777" w:rsidR="001404EA" w:rsidRDefault="008915E9" w:rsidP="000469FE">
      <w:pPr>
        <w:pStyle w:val="Paragraphedeliste"/>
        <w:numPr>
          <w:ilvl w:val="0"/>
          <w:numId w:val="33"/>
        </w:numPr>
      </w:pPr>
      <w:r>
        <w:t xml:space="preserve">La politique de reconnaissance des organismes communautaires autonomes </w:t>
      </w:r>
      <w:r w:rsidR="008E6C0D">
        <w:t xml:space="preserve">dont </w:t>
      </w:r>
      <w:r w:rsidR="00A6161E">
        <w:t xml:space="preserve">l’institutionnalisation </w:t>
      </w:r>
      <w:r>
        <w:t xml:space="preserve">a connu des étapes importantes en 1990 et en 2000 (Jetté, 2008). </w:t>
      </w:r>
    </w:p>
    <w:p w14:paraId="0E7AAB22" w14:textId="77777777" w:rsidR="001404EA" w:rsidRDefault="008915E9" w:rsidP="000469FE">
      <w:pPr>
        <w:pStyle w:val="Paragraphedeliste"/>
        <w:numPr>
          <w:ilvl w:val="0"/>
          <w:numId w:val="33"/>
        </w:numPr>
      </w:pPr>
      <w:r>
        <w:t>La politique de reconnaissance de l’économie sociale</w:t>
      </w:r>
      <w:r w:rsidR="00912429">
        <w:t xml:space="preserve"> qui a connu un temps fort au Sommet sur l’Économie et l’Emploi de l’automne 1996 (Lévesque, Fontan et Klein, 2014; Vaillancourt, 2010). </w:t>
      </w:r>
    </w:p>
    <w:p w14:paraId="130402A8" w14:textId="77777777" w:rsidR="001404EA" w:rsidRPr="00BB2B62" w:rsidRDefault="00912429" w:rsidP="000469FE">
      <w:pPr>
        <w:pStyle w:val="Paragraphedeliste"/>
        <w:numPr>
          <w:ilvl w:val="0"/>
          <w:numId w:val="33"/>
        </w:numPr>
      </w:pPr>
      <w:r w:rsidRPr="00BB2B62">
        <w:t xml:space="preserve">La politique des Centres de la petite enfance (CPE) qui a </w:t>
      </w:r>
      <w:r w:rsidR="00B0097B" w:rsidRPr="00BB2B62">
        <w:t>joué un rôle important</w:t>
      </w:r>
      <w:r w:rsidRPr="00BB2B62">
        <w:t xml:space="preserve"> dans la politique familiale </w:t>
      </w:r>
      <w:r w:rsidR="00B0097B" w:rsidRPr="00BB2B62">
        <w:t xml:space="preserve">introduite au sommet socioéconomique de 1996 et </w:t>
      </w:r>
      <w:r w:rsidRPr="00BB2B62">
        <w:t>adoptée en 1997 (Lévesque, 2014).</w:t>
      </w:r>
      <w:r w:rsidR="001404EA" w:rsidRPr="00BB2B62">
        <w:t xml:space="preserve"> </w:t>
      </w:r>
    </w:p>
    <w:p w14:paraId="1BE6AF90" w14:textId="77777777" w:rsidR="001F13B2" w:rsidRPr="00BB2B62" w:rsidRDefault="001404EA" w:rsidP="000469FE">
      <w:pPr>
        <w:pStyle w:val="Paragraphedeliste"/>
        <w:numPr>
          <w:ilvl w:val="0"/>
          <w:numId w:val="33"/>
        </w:numPr>
      </w:pPr>
      <w:r w:rsidRPr="00BB2B62">
        <w:t xml:space="preserve">La réforme de la politique de soutien à domicile induite par la création d’un </w:t>
      </w:r>
      <w:r w:rsidR="00B0097B" w:rsidRPr="00BB2B62">
        <w:t>R</w:t>
      </w:r>
      <w:r w:rsidRPr="00BB2B62">
        <w:t xml:space="preserve">éseau </w:t>
      </w:r>
      <w:r w:rsidR="00B0097B" w:rsidRPr="00BB2B62">
        <w:t>d’e</w:t>
      </w:r>
      <w:r w:rsidRPr="00BB2B62">
        <w:t>ntreprises d’économie sociale e</w:t>
      </w:r>
      <w:r w:rsidR="00086928" w:rsidRPr="00BB2B62">
        <w:t>n aide domestique (EESAD) lancé</w:t>
      </w:r>
      <w:r w:rsidR="00B0097B" w:rsidRPr="00BB2B62">
        <w:t>e</w:t>
      </w:r>
      <w:r w:rsidR="00086928" w:rsidRPr="00BB2B62">
        <w:t xml:space="preserve"> en 1997 et </w:t>
      </w:r>
      <w:r w:rsidR="00B0097B" w:rsidRPr="00BB2B62">
        <w:t>introduite</w:t>
      </w:r>
      <w:r w:rsidRPr="00BB2B62">
        <w:t xml:space="preserve"> aussi au Sommet de 1996 (</w:t>
      </w:r>
      <w:r w:rsidR="00925340" w:rsidRPr="00BB2B62">
        <w:t xml:space="preserve">Vaillancourt et Jetté, 2009; </w:t>
      </w:r>
      <w:r w:rsidRPr="00BB2B62">
        <w:t xml:space="preserve">Jetté et Vaillancourt, 2011). </w:t>
      </w:r>
    </w:p>
    <w:p w14:paraId="7BE9FA8E" w14:textId="77777777" w:rsidR="00925340" w:rsidRPr="00BB2B62" w:rsidRDefault="00925340" w:rsidP="000469FE">
      <w:pPr>
        <w:pStyle w:val="Paragraphedeliste"/>
        <w:numPr>
          <w:ilvl w:val="0"/>
          <w:numId w:val="33"/>
        </w:numPr>
      </w:pPr>
      <w:r w:rsidRPr="00BB2B62">
        <w:t>La politique AccèsLogis dans le domaine du logement social, lancée elle aussi en 1997 et conçue au Sommet de 1996 (Ducharme et Vaillancourt (2012).</w:t>
      </w:r>
    </w:p>
    <w:p w14:paraId="5A3E1238" w14:textId="77777777" w:rsidR="00925340" w:rsidRPr="00BB2B62" w:rsidRDefault="00925340" w:rsidP="000469FE">
      <w:pPr>
        <w:pStyle w:val="Paragraphedeliste"/>
        <w:numPr>
          <w:ilvl w:val="0"/>
          <w:numId w:val="33"/>
        </w:numPr>
      </w:pPr>
      <w:r w:rsidRPr="00BB2B62">
        <w:lastRenderedPageBreak/>
        <w:t>La Loi visant à combattre la pauvreté et l’exclusion sociale adoptée en 2002</w:t>
      </w:r>
      <w:r w:rsidR="00850F1A" w:rsidRPr="00BB2B62">
        <w:t xml:space="preserve"> (Vaillancourt et Aubry, 2014)</w:t>
      </w:r>
      <w:r w:rsidRPr="00BB2B62">
        <w:t xml:space="preserve">. </w:t>
      </w:r>
    </w:p>
    <w:p w14:paraId="1A4DD945" w14:textId="77777777" w:rsidR="00315666" w:rsidRPr="00BB2B62" w:rsidRDefault="00315666" w:rsidP="0077667A"/>
    <w:p w14:paraId="3794E743" w14:textId="77777777" w:rsidR="005600A7" w:rsidRPr="00041832" w:rsidRDefault="005600A7" w:rsidP="0077667A">
      <w:r w:rsidRPr="00041832">
        <w:t xml:space="preserve">À partir de ces six cas et </w:t>
      </w:r>
      <w:r w:rsidR="00B0097B" w:rsidRPr="00041832">
        <w:t xml:space="preserve">en étant attentif à la thématique de la co-construction </w:t>
      </w:r>
      <w:r w:rsidRPr="00041832">
        <w:t xml:space="preserve">des recherches faites à leur sujet, il est possible de </w:t>
      </w:r>
      <w:r w:rsidR="00B0097B" w:rsidRPr="00041832">
        <w:t>faire</w:t>
      </w:r>
      <w:r w:rsidRPr="00041832">
        <w:t xml:space="preserve"> les </w:t>
      </w:r>
      <w:r w:rsidR="002F7640" w:rsidRPr="00041832">
        <w:rPr>
          <w:i/>
        </w:rPr>
        <w:t>sept</w:t>
      </w:r>
      <w:r w:rsidR="004703C9" w:rsidRPr="00041832">
        <w:rPr>
          <w:i/>
        </w:rPr>
        <w:t xml:space="preserve"> </w:t>
      </w:r>
      <w:r w:rsidRPr="00041832">
        <w:rPr>
          <w:i/>
        </w:rPr>
        <w:t>constats</w:t>
      </w:r>
      <w:r w:rsidRPr="00041832">
        <w:t xml:space="preserve"> suivants.</w:t>
      </w:r>
    </w:p>
    <w:p w14:paraId="6678BBD8" w14:textId="77777777" w:rsidR="00684558" w:rsidRPr="00041832" w:rsidRDefault="00684558" w:rsidP="0077667A"/>
    <w:p w14:paraId="40CB4AC0" w14:textId="77777777" w:rsidR="005600A7" w:rsidRPr="00041832" w:rsidRDefault="006043BE" w:rsidP="00320415">
      <w:pPr>
        <w:pStyle w:val="Paragraphedeliste"/>
        <w:numPr>
          <w:ilvl w:val="0"/>
          <w:numId w:val="29"/>
        </w:numPr>
      </w:pPr>
      <w:r w:rsidRPr="00041832">
        <w:t>À la différence des deux politiques publiques de l’État fédéra</w:t>
      </w:r>
      <w:r w:rsidR="000469FE" w:rsidRPr="00041832">
        <w:t>l</w:t>
      </w:r>
      <w:r w:rsidRPr="00041832">
        <w:t xml:space="preserve"> examinées plus haut, les six politiques de l’État québécois mentionnées ici ont fait preuve de leur </w:t>
      </w:r>
      <w:r w:rsidR="00F4180D" w:rsidRPr="00041832">
        <w:rPr>
          <w:i/>
        </w:rPr>
        <w:t xml:space="preserve">capacité de </w:t>
      </w:r>
      <w:r w:rsidR="00D72481" w:rsidRPr="00041832">
        <w:rPr>
          <w:i/>
        </w:rPr>
        <w:t>résilie</w:t>
      </w:r>
      <w:r w:rsidR="00F4180D" w:rsidRPr="00041832">
        <w:rPr>
          <w:i/>
        </w:rPr>
        <w:t>nce</w:t>
      </w:r>
      <w:r w:rsidRPr="00041832">
        <w:t xml:space="preserve"> au fil des années et au-delà des changements de gouvernements. </w:t>
      </w:r>
      <w:r w:rsidR="00372D48" w:rsidRPr="00041832">
        <w:t>En fait, elles ont survécu à la succession</w:t>
      </w:r>
      <w:r w:rsidR="00721D9E" w:rsidRPr="00041832">
        <w:t xml:space="preserve"> de </w:t>
      </w:r>
      <w:r w:rsidR="000469FE" w:rsidRPr="00041832">
        <w:t>sept</w:t>
      </w:r>
      <w:r w:rsidR="00721D9E" w:rsidRPr="00041832">
        <w:t xml:space="preserve"> gouvernements dirigés par divers partis politiques. Elles ont survécu aux </w:t>
      </w:r>
      <w:r w:rsidR="00372D48" w:rsidRPr="00041832">
        <w:t>gouvernements du PQ de Lucien B</w:t>
      </w:r>
      <w:r w:rsidR="004703C9" w:rsidRPr="00041832">
        <w:t xml:space="preserve">ouchard (1996 à 2001) et </w:t>
      </w:r>
      <w:r w:rsidR="00372D48" w:rsidRPr="00041832">
        <w:t>de Bernard Landry (2001 à 2003)</w:t>
      </w:r>
      <w:r w:rsidR="004703C9" w:rsidRPr="00041832">
        <w:t>, des trois gouvernements de Jean Charest (2003 à 2012) et du gouvernement du PQ de Pauline Marois (de 2012 à 2014). Il reste à voir</w:t>
      </w:r>
      <w:r w:rsidR="00B0097B" w:rsidRPr="00041832">
        <w:t xml:space="preserve"> le sort que réservera</w:t>
      </w:r>
      <w:r w:rsidR="004703C9" w:rsidRPr="00041832">
        <w:t xml:space="preserve"> </w:t>
      </w:r>
      <w:r w:rsidR="000B6AD8" w:rsidRPr="00041832">
        <w:t>à</w:t>
      </w:r>
      <w:r w:rsidR="004703C9" w:rsidRPr="00041832">
        <w:t xml:space="preserve"> ces politiques le nouveau gouvernement du PLQ de Philippe Couillard arrivé au pouvoir en avril 2014. </w:t>
      </w:r>
      <w:r w:rsidR="00C70DA3" w:rsidRPr="00041832">
        <w:t>Dans l’intervalle, nous constatons qu</w:t>
      </w:r>
      <w:r w:rsidR="00F4180D" w:rsidRPr="00041832">
        <w:t xml:space="preserve">e </w:t>
      </w:r>
      <w:r w:rsidR="000B6AD8" w:rsidRPr="00041832">
        <w:t>le fait</w:t>
      </w:r>
      <w:r w:rsidR="00F4180D" w:rsidRPr="00041832">
        <w:t xml:space="preserve"> pour </w:t>
      </w:r>
      <w:r w:rsidR="00C70DA3" w:rsidRPr="00041832">
        <w:t>une pol</w:t>
      </w:r>
      <w:r w:rsidR="000469FE" w:rsidRPr="00041832">
        <w:t>itique publique d’être construit</w:t>
      </w:r>
      <w:r w:rsidR="00C70DA3" w:rsidRPr="00041832">
        <w:t xml:space="preserve">e avec la participation </w:t>
      </w:r>
      <w:r w:rsidR="00320415" w:rsidRPr="00041832">
        <w:t>et l’appui d’une diversité de partis politiques lui donne plus de chance d’être pérennisée. C’est ce qui explique pourquoi la Loi pour combattre la pauvreté et l’exclusion sociale adoptée en décembre 2002</w:t>
      </w:r>
      <w:r w:rsidR="00F4180D" w:rsidRPr="00041832">
        <w:t xml:space="preserve"> par le gouvernement du PQ</w:t>
      </w:r>
      <w:r w:rsidR="00320415" w:rsidRPr="00041832">
        <w:t xml:space="preserve"> avec l’appui de tous les partis politiques et députés présents à l’Assemblée nationale</w:t>
      </w:r>
      <w:r w:rsidR="00F4180D" w:rsidRPr="00041832">
        <w:t xml:space="preserve"> a été capable de se maintenir, quatre</w:t>
      </w:r>
      <w:r w:rsidR="00320415" w:rsidRPr="00041832">
        <w:t xml:space="preserve"> mois plus tard</w:t>
      </w:r>
      <w:r w:rsidR="000469FE" w:rsidRPr="00041832">
        <w:t>,</w:t>
      </w:r>
      <w:r w:rsidR="00320415" w:rsidRPr="00041832">
        <w:t xml:space="preserve"> lorsqu’un autre parti politique est arrivé au pouvoir. C’est ce que le politologue Alain Noël (2013) explique en affirmant que certaines réformes de politiques publiques au Québec au cours des dernières décennies ont </w:t>
      </w:r>
      <w:r w:rsidR="000B6AD8" w:rsidRPr="00041832">
        <w:t>survécu</w:t>
      </w:r>
      <w:r w:rsidR="00320415" w:rsidRPr="00041832">
        <w:t xml:space="preserve"> </w:t>
      </w:r>
      <w:r w:rsidR="000B6AD8" w:rsidRPr="00041832">
        <w:t>aux</w:t>
      </w:r>
      <w:r w:rsidR="00320415" w:rsidRPr="00041832">
        <w:t xml:space="preserve"> changements de gouvernements en raison du fait qu’elles avaient été construites d’une manière </w:t>
      </w:r>
      <w:r w:rsidR="000B6AD8" w:rsidRPr="00041832">
        <w:t>non partisane</w:t>
      </w:r>
      <w:r w:rsidR="00320415" w:rsidRPr="00041832">
        <w:t>.</w:t>
      </w:r>
    </w:p>
    <w:p w14:paraId="51FF7633" w14:textId="77777777" w:rsidR="00320415" w:rsidRDefault="00320415" w:rsidP="00320415">
      <w:pPr>
        <w:ind w:left="360"/>
      </w:pPr>
    </w:p>
    <w:p w14:paraId="5066632F" w14:textId="77777777" w:rsidR="00AC7E0F" w:rsidRDefault="00295981" w:rsidP="00320415">
      <w:pPr>
        <w:pStyle w:val="Paragraphedeliste"/>
        <w:numPr>
          <w:ilvl w:val="0"/>
          <w:numId w:val="29"/>
        </w:numPr>
      </w:pPr>
      <w:r>
        <w:t>L’émergence</w:t>
      </w:r>
      <w:r w:rsidR="00E25BEA">
        <w:t xml:space="preserve"> des six politiques s’est </w:t>
      </w:r>
      <w:r w:rsidR="000B6AD8" w:rsidRPr="003942D0">
        <w:t>produi</w:t>
      </w:r>
      <w:r w:rsidR="00E25BEA" w:rsidRPr="003942D0">
        <w:t>te</w:t>
      </w:r>
      <w:r>
        <w:t xml:space="preserve"> au cours des années 1994-2002, à l’époque où divers gouvernements du PQ se sont </w:t>
      </w:r>
      <w:r w:rsidRPr="00041832">
        <w:t>succédé,</w:t>
      </w:r>
      <w:r>
        <w:t xml:space="preserve"> ce qui inclut le gouvernement de Jacques Parizeau de 1994 à 1995.</w:t>
      </w:r>
      <w:r w:rsidR="004D6F82">
        <w:t xml:space="preserve"> Cela fait ressortir que, </w:t>
      </w:r>
      <w:r w:rsidR="004D6F82" w:rsidRPr="00320415">
        <w:rPr>
          <w:i/>
        </w:rPr>
        <w:t>dans l’histoire d’une société, il y a des</w:t>
      </w:r>
      <w:r w:rsidR="004D6F82">
        <w:t xml:space="preserve"> </w:t>
      </w:r>
      <w:r w:rsidR="004D6F82" w:rsidRPr="00320415">
        <w:rPr>
          <w:i/>
        </w:rPr>
        <w:t>moments qui sont plus favorables que d’autres à la co-construction</w:t>
      </w:r>
      <w:r w:rsidR="004D6F82">
        <w:t xml:space="preserve"> </w:t>
      </w:r>
      <w:r w:rsidR="004D6F82" w:rsidRPr="00320415">
        <w:rPr>
          <w:i/>
        </w:rPr>
        <w:t>démocratique</w:t>
      </w:r>
      <w:r w:rsidR="004D6F82">
        <w:t xml:space="preserve">. </w:t>
      </w:r>
      <w:r>
        <w:t xml:space="preserve"> Avec le recul du temps, on peut dire que cette période</w:t>
      </w:r>
      <w:r w:rsidR="004D6F82">
        <w:t xml:space="preserve"> des années 1994-2002</w:t>
      </w:r>
      <w:r>
        <w:t xml:space="preserve"> a été particulièrement </w:t>
      </w:r>
      <w:r w:rsidR="003D4D88">
        <w:t>féconde sur le plan de</w:t>
      </w:r>
      <w:r>
        <w:t xml:space="preserve"> la participation de la société civile et de l’ESS à la co-construction démocratique des politiques publiques. </w:t>
      </w:r>
      <w:r w:rsidR="00D72987">
        <w:t>D</w:t>
      </w:r>
      <w:r w:rsidR="00AC7E0F">
        <w:t>ans certains dossiers, à certains moments, le gouvernement entretient des dialogues avec les mouvements sociaux. C’est notamment ce qui</w:t>
      </w:r>
      <w:r w:rsidR="00E25BEA">
        <w:t xml:space="preserve"> s’est passé</w:t>
      </w:r>
      <w:r w:rsidR="00AC7E0F">
        <w:t xml:space="preserve"> pendant la période entourant le référendum sur l’indépendance</w:t>
      </w:r>
      <w:r w:rsidR="003D4D88">
        <w:t xml:space="preserve"> du Québec</w:t>
      </w:r>
      <w:r w:rsidR="00AC7E0F">
        <w:t xml:space="preserve"> de l’automne 1995 et les deux Sommets socioéconomiques présidés par Lucien Bouchard en 1996.</w:t>
      </w:r>
      <w:r w:rsidR="00D72987">
        <w:t xml:space="preserve"> On remarque aussi que la genèse des politiques analysées a commencé dans la société civile sous l’impulsion des luttes des mouvements sociaux </w:t>
      </w:r>
      <w:r w:rsidR="00171820">
        <w:t>bien</w:t>
      </w:r>
      <w:r w:rsidR="00D72987">
        <w:t xml:space="preserve"> avant le Sommet socioéconomique de</w:t>
      </w:r>
      <w:r w:rsidR="0033177F">
        <w:t xml:space="preserve"> l’automne</w:t>
      </w:r>
      <w:r w:rsidR="00D72987">
        <w:t xml:space="preserve"> 1996 et avant même que le PQ arrive au pouvoir en 1994. </w:t>
      </w:r>
      <w:r w:rsidR="00171820">
        <w:t>Dans ce contexte, la Marche féministe du Pain et des Roses de 1995 a joué un rôle décisif (Lévesque et Petitclerc, 2014; Vaillancourt, 2010</w:t>
      </w:r>
      <w:r w:rsidR="007938F9">
        <w:t>; Vaillancourt et Aubry, 2014</w:t>
      </w:r>
      <w:r w:rsidR="00171820">
        <w:t>).</w:t>
      </w:r>
    </w:p>
    <w:p w14:paraId="02F7E80E" w14:textId="77777777" w:rsidR="00F860AB" w:rsidRDefault="00F860AB" w:rsidP="00F860AB"/>
    <w:p w14:paraId="7B8E1CBA" w14:textId="77777777" w:rsidR="00F860AB" w:rsidRDefault="00F860AB" w:rsidP="00320415">
      <w:pPr>
        <w:pStyle w:val="Paragraphedeliste"/>
        <w:numPr>
          <w:ilvl w:val="0"/>
          <w:numId w:val="29"/>
        </w:numPr>
      </w:pPr>
      <w:r w:rsidRPr="00F860AB">
        <w:rPr>
          <w:i/>
        </w:rPr>
        <w:t>La formule des deux forums socioéconomiques de 1996</w:t>
      </w:r>
      <w:r>
        <w:rPr>
          <w:i/>
        </w:rPr>
        <w:t>, convoqué</w:t>
      </w:r>
      <w:r w:rsidR="000B6AD8">
        <w:rPr>
          <w:i/>
        </w:rPr>
        <w:t>s</w:t>
      </w:r>
      <w:r>
        <w:rPr>
          <w:i/>
        </w:rPr>
        <w:t xml:space="preserve"> par le nouveau gouvernement du PQ dirigé par Lucien Bouchard,</w:t>
      </w:r>
      <w:r w:rsidRPr="00F860AB">
        <w:rPr>
          <w:i/>
        </w:rPr>
        <w:t xml:space="preserve"> s’est avérée très novatrice et productive pour rendre possible l’aménagement d’un temps fort de co-construction démocratique</w:t>
      </w:r>
      <w:r>
        <w:t xml:space="preserve">, </w:t>
      </w:r>
      <w:r>
        <w:lastRenderedPageBreak/>
        <w:t>c’est-à-dire de dialogue entre « le monde du social » et « le monde du politique »</w:t>
      </w:r>
      <w:r w:rsidR="001D3D19">
        <w:t xml:space="preserve"> (Garreton, </w:t>
      </w:r>
      <w:r w:rsidR="00417B3D">
        <w:t xml:space="preserve">2014a et </w:t>
      </w:r>
      <w:r w:rsidR="001D3D19">
        <w:t>2014</w:t>
      </w:r>
      <w:r w:rsidR="0080559D">
        <w:t>b</w:t>
      </w:r>
      <w:r w:rsidR="001D3D19">
        <w:t>)</w:t>
      </w:r>
      <w:r>
        <w:t xml:space="preserve"> sur un certain nombre d’enjeux de société importants dans le contexte de l’époque</w:t>
      </w:r>
      <w:r w:rsidR="003712DF">
        <w:rPr>
          <w:rStyle w:val="Marquenotebasdepage"/>
        </w:rPr>
        <w:footnoteReference w:id="12"/>
      </w:r>
      <w:r>
        <w:t>.  Le premier forum a duré une journée et a eu lieu en mars 1996. Le second forum « sur l’économie et l’emploi » a d</w:t>
      </w:r>
      <w:r w:rsidR="00417B3D">
        <w:t>uré trois jours et a eu lieu du</w:t>
      </w:r>
      <w:r>
        <w:t xml:space="preserve"> 30 octobre au 1</w:t>
      </w:r>
      <w:r w:rsidRPr="00F860AB">
        <w:rPr>
          <w:vertAlign w:val="superscript"/>
        </w:rPr>
        <w:t>er</w:t>
      </w:r>
      <w:r>
        <w:t xml:space="preserve"> novembre 1996. La formule des forums était une innovation politique dans la mesure où les acteurs de la société civile convoqués ne provenaient pas seulement </w:t>
      </w:r>
      <w:r w:rsidR="00417B3D">
        <w:t xml:space="preserve">des organisations syndicales, </w:t>
      </w:r>
      <w:r>
        <w:t>patronales</w:t>
      </w:r>
      <w:r w:rsidR="00417B3D">
        <w:t xml:space="preserve"> et étatiques</w:t>
      </w:r>
      <w:r>
        <w:t xml:space="preserve">, mais aussi de divers mouvements sociaux, du monde de l’éducation et des milieux religieux. </w:t>
      </w:r>
      <w:r w:rsidR="00141A5C">
        <w:t>En outre, la formule a pu être productive dans la mesure où elle a été bien préparée plusieurs mois à l’avance et a su laisser percoler les demandes et réflexions qui cheminaient dans la société civile et la société politique depuis le début des années 1990.</w:t>
      </w:r>
    </w:p>
    <w:p w14:paraId="15F0FBE5" w14:textId="77777777" w:rsidR="00320415" w:rsidRDefault="00320415" w:rsidP="00320415"/>
    <w:p w14:paraId="58FC2F05" w14:textId="77777777" w:rsidR="00AC7E0F" w:rsidRDefault="000B13B8" w:rsidP="00320415">
      <w:pPr>
        <w:pStyle w:val="Paragraphedeliste"/>
        <w:numPr>
          <w:ilvl w:val="0"/>
          <w:numId w:val="29"/>
        </w:numPr>
      </w:pPr>
      <w:r>
        <w:t xml:space="preserve">Dans les six dossiers retenus, </w:t>
      </w:r>
      <w:r w:rsidRPr="00320415">
        <w:rPr>
          <w:i/>
        </w:rPr>
        <w:t>il y a eu co</w:t>
      </w:r>
      <w:r w:rsidR="00B249E7" w:rsidRPr="00320415">
        <w:rPr>
          <w:i/>
        </w:rPr>
        <w:t>-construction démocratique des</w:t>
      </w:r>
      <w:r w:rsidRPr="00320415">
        <w:rPr>
          <w:i/>
        </w:rPr>
        <w:t xml:space="preserve"> politique</w:t>
      </w:r>
      <w:r w:rsidR="00B249E7" w:rsidRPr="00320415">
        <w:rPr>
          <w:i/>
        </w:rPr>
        <w:t>s</w:t>
      </w:r>
      <w:r w:rsidRPr="00320415">
        <w:rPr>
          <w:i/>
        </w:rPr>
        <w:t xml:space="preserve"> publique</w:t>
      </w:r>
      <w:r w:rsidR="00B249E7" w:rsidRPr="00320415">
        <w:rPr>
          <w:i/>
        </w:rPr>
        <w:t>s</w:t>
      </w:r>
      <w:r w:rsidRPr="00320415">
        <w:rPr>
          <w:i/>
        </w:rPr>
        <w:t>, mais</w:t>
      </w:r>
      <w:r>
        <w:t xml:space="preserve"> </w:t>
      </w:r>
      <w:r w:rsidRPr="00320415">
        <w:rPr>
          <w:i/>
        </w:rPr>
        <w:t>la nature démocratique de cette co-construction a été plus intense dans certains dossi</w:t>
      </w:r>
      <w:r w:rsidR="00C70DA3" w:rsidRPr="00320415">
        <w:rPr>
          <w:i/>
        </w:rPr>
        <w:t xml:space="preserve">ers </w:t>
      </w:r>
      <w:r w:rsidR="00C70DA3" w:rsidRPr="009B529F">
        <w:t>(comme le logement social,</w:t>
      </w:r>
      <w:r w:rsidRPr="009B529F">
        <w:t xml:space="preserve"> les CPE</w:t>
      </w:r>
      <w:r w:rsidR="00C70DA3" w:rsidRPr="009B529F">
        <w:t xml:space="preserve"> et la loi anti-pauvreté</w:t>
      </w:r>
      <w:r w:rsidRPr="009B529F">
        <w:t>)</w:t>
      </w:r>
      <w:r w:rsidRPr="00320415">
        <w:rPr>
          <w:i/>
        </w:rPr>
        <w:t xml:space="preserve"> </w:t>
      </w:r>
      <w:r w:rsidR="000B6AD8" w:rsidRPr="003942D0">
        <w:rPr>
          <w:i/>
        </w:rPr>
        <w:t xml:space="preserve">que </w:t>
      </w:r>
      <w:r w:rsidRPr="003942D0">
        <w:rPr>
          <w:i/>
        </w:rPr>
        <w:t>d</w:t>
      </w:r>
      <w:r w:rsidRPr="00320415">
        <w:rPr>
          <w:i/>
        </w:rPr>
        <w:t>ans d’autres</w:t>
      </w:r>
      <w:r>
        <w:t xml:space="preserve"> (comme </w:t>
      </w:r>
      <w:r w:rsidRPr="003942D0">
        <w:t xml:space="preserve">la politique </w:t>
      </w:r>
      <w:r w:rsidR="00A31DDA" w:rsidRPr="003942D0">
        <w:t>des EESAD</w:t>
      </w:r>
      <w:r w:rsidR="00A31DDA">
        <w:t xml:space="preserve"> dans le domaine du soutien à dom</w:t>
      </w:r>
      <w:r w:rsidR="00A31DDA" w:rsidRPr="003942D0">
        <w:t>ic</w:t>
      </w:r>
      <w:r w:rsidR="00A31DDA">
        <w:t>ile</w:t>
      </w:r>
      <w:r w:rsidR="009B529F">
        <w:t>)</w:t>
      </w:r>
      <w:r w:rsidR="00A31DDA">
        <w:t>.</w:t>
      </w:r>
      <w:r w:rsidR="00AC7E0F">
        <w:t xml:space="preserve"> Dans ce </w:t>
      </w:r>
      <w:r>
        <w:t>cas</w:t>
      </w:r>
      <w:r w:rsidR="00AC7E0F">
        <w:t xml:space="preserve">, </w:t>
      </w:r>
      <w:r>
        <w:t>les acteurs de la société civile et de l’ESS ont participé fortement et efficacement aux délibérations publiques aux origines de la politique</w:t>
      </w:r>
      <w:r w:rsidR="007D5585">
        <w:t xml:space="preserve"> au Sommet d’octobre 1996</w:t>
      </w:r>
      <w:r>
        <w:t>. Mais</w:t>
      </w:r>
      <w:r w:rsidR="007D5585">
        <w:t xml:space="preserve"> par la suite</w:t>
      </w:r>
      <w:r>
        <w:t xml:space="preserve">, </w:t>
      </w:r>
      <w:r w:rsidR="007D5585">
        <w:t>au cours des années 1997-2014,</w:t>
      </w:r>
      <w:r>
        <w:t xml:space="preserve"> </w:t>
      </w:r>
      <w:r w:rsidR="007D5585">
        <w:t>la</w:t>
      </w:r>
      <w:r>
        <w:t xml:space="preserve"> co-construction démocratique</w:t>
      </w:r>
      <w:r w:rsidR="007D5585">
        <w:t xml:space="preserve"> a été moins présente</w:t>
      </w:r>
      <w:r>
        <w:t>. L</w:t>
      </w:r>
      <w:r w:rsidR="00AC7E0F">
        <w:t>es diverses familles de l’ESS</w:t>
      </w:r>
      <w:r>
        <w:t xml:space="preserve"> et les autres parties prenantes de la société civile concernés par la politique de soutien à domicile des personnes âgées et handicapées</w:t>
      </w:r>
      <w:r w:rsidR="007D5585">
        <w:t xml:space="preserve"> </w:t>
      </w:r>
      <w:r w:rsidR="007D5585" w:rsidRPr="00320415">
        <w:rPr>
          <w:rFonts w:ascii="Cambria" w:hAnsi="Cambria"/>
        </w:rPr>
        <w:t>—par exemple les syndicats du secteur public —</w:t>
      </w:r>
      <w:r w:rsidR="00AC7E0F">
        <w:t>, ont souvent</w:t>
      </w:r>
      <w:r w:rsidR="007D5585">
        <w:t xml:space="preserve"> eu</w:t>
      </w:r>
      <w:r w:rsidR="00AC7E0F">
        <w:t xml:space="preserve"> de la difficulté à délibérer de man</w:t>
      </w:r>
      <w:r w:rsidR="007D5585">
        <w:t>ière démocratique entre elles et même à participer à des délibérations sur la place publique</w:t>
      </w:r>
      <w:r w:rsidR="00AC7E0F">
        <w:t>.</w:t>
      </w:r>
      <w:r w:rsidR="00F640DB">
        <w:t xml:space="preserve"> Cette</w:t>
      </w:r>
      <w:r w:rsidR="00C70DA3">
        <w:t xml:space="preserve"> difficulté</w:t>
      </w:r>
      <w:r w:rsidR="00F640DB">
        <w:t xml:space="preserve"> témoigne de l’importance d’une condition de base pour qu’il y ait co-construction démocratique. La co-construction et le débat démocratique doivent commencer à l’intérieur même du périmètre de l’ESS</w:t>
      </w:r>
      <w:r w:rsidR="008802C0">
        <w:t>, entre les diverses composantes de l’ESS</w:t>
      </w:r>
      <w:r w:rsidR="00F640DB">
        <w:t xml:space="preserve">. </w:t>
      </w:r>
    </w:p>
    <w:p w14:paraId="5DA4C0CF" w14:textId="77777777" w:rsidR="00320415" w:rsidRDefault="00320415" w:rsidP="00320415"/>
    <w:p w14:paraId="1485B7EB" w14:textId="77777777" w:rsidR="00AC7E0F" w:rsidRDefault="00885F2C" w:rsidP="00320415">
      <w:pPr>
        <w:pStyle w:val="Paragraphedeliste"/>
        <w:numPr>
          <w:ilvl w:val="0"/>
          <w:numId w:val="29"/>
        </w:numPr>
      </w:pPr>
      <w:r w:rsidRPr="00320415">
        <w:rPr>
          <w:i/>
        </w:rPr>
        <w:t>L</w:t>
      </w:r>
      <w:r w:rsidR="00F17A4F" w:rsidRPr="00320415">
        <w:rPr>
          <w:i/>
        </w:rPr>
        <w:t xml:space="preserve">es moments les plus indiqués pour favoriser la co-construction d’une politique publique se situent davantage en amont </w:t>
      </w:r>
      <w:r w:rsidR="00B249E7" w:rsidRPr="00320415">
        <w:rPr>
          <w:i/>
        </w:rPr>
        <w:t xml:space="preserve">et moins </w:t>
      </w:r>
      <w:r w:rsidR="00F17A4F" w:rsidRPr="00320415">
        <w:rPr>
          <w:i/>
        </w:rPr>
        <w:t>en aval de l’adoption de cette politique.</w:t>
      </w:r>
      <w:r w:rsidR="00F17A4F">
        <w:t xml:space="preserve">  C’est ce qui ressort d’une étude de cas que nous avons faite récemment sur la loi québécoise pour combattre la pauvreté et l’exclusion sociale (Vaillancourt et Aubry, 2014). </w:t>
      </w:r>
      <w:r w:rsidR="00B249E7">
        <w:t>Nous avons noté que la co-construction démocratique avait été particulièrement forte et déterminante a</w:t>
      </w:r>
      <w:r w:rsidR="00417B3D">
        <w:t>u cours des 18 mois qui ont précéd</w:t>
      </w:r>
      <w:r w:rsidR="00B249E7">
        <w:t>é l’adoption de la politique en décembre 2002. C</w:t>
      </w:r>
      <w:r w:rsidR="00F17A4F">
        <w:t>ela étant dit, il serait erroné de penser qu’une fois passé le moment de l’adoption d’une politique,  il n’y aurait de place que pour la participation des parties prenantes de la société civile à la co</w:t>
      </w:r>
      <w:r w:rsidR="00B249E7">
        <w:t xml:space="preserve">-production de cette politique </w:t>
      </w:r>
      <w:r w:rsidR="00F17A4F">
        <w:t xml:space="preserve">et plus de place pour vivre de nouveaux moments de co-construction. Cette façon de </w:t>
      </w:r>
      <w:r w:rsidR="00B249E7">
        <w:t>voir</w:t>
      </w:r>
      <w:r w:rsidR="00F17A4F">
        <w:t xml:space="preserve"> ne rend pas justice à la réalité. D’une part, les politiques, une fois adoptées, peuvent toujours être</w:t>
      </w:r>
      <w:r w:rsidR="00B249E7">
        <w:t xml:space="preserve"> remises en question, réinterprétées et</w:t>
      </w:r>
      <w:r w:rsidR="00F17A4F">
        <w:t xml:space="preserve"> amendées. D’autre part, dans la mise en application d’une politique, il y a des moments particuliers où les </w:t>
      </w:r>
      <w:r w:rsidR="00B249E7">
        <w:t>élus</w:t>
      </w:r>
      <w:r w:rsidR="00F17A4F">
        <w:t xml:space="preserve"> et hauts fonctionnaires, avec ou </w:t>
      </w:r>
      <w:r w:rsidR="00F17A4F">
        <w:lastRenderedPageBreak/>
        <w:t xml:space="preserve">sans la participation des acteurs de la société civile, doivent prendre des décisions concernant l’adoption de plans de mise en œuvre. Par exemple, </w:t>
      </w:r>
      <w:r w:rsidR="00B249E7">
        <w:t xml:space="preserve">toujours </w:t>
      </w:r>
      <w:r w:rsidR="0093177E">
        <w:t>en rapport avec</w:t>
      </w:r>
      <w:r w:rsidR="00F17A4F">
        <w:t xml:space="preserve"> la Loi québécoise pour combattre la pauvreté</w:t>
      </w:r>
      <w:r w:rsidR="0093177E">
        <w:t xml:space="preserve"> et l’exclusion sociale</w:t>
      </w:r>
      <w:r w:rsidR="00F17A4F">
        <w:t xml:space="preserve">, des plans d’action gouvernementaux doivent être adoptés </w:t>
      </w:r>
      <w:r w:rsidR="00B249E7">
        <w:t>à tous les cinq ans et deux de ces plans ont été adoptés depuis l’arrivée de la loi en 2002</w:t>
      </w:r>
      <w:r w:rsidR="00F17A4F">
        <w:t xml:space="preserve">. Or, dans ces moments cruciaux de mise-en-œuvre, il y a des rendez-vous possibles pour la co-construction. Mais, lorsqu’ils se présentent, ces rendez-vous peuvent être réussis ou ratés. </w:t>
      </w:r>
      <w:r>
        <w:t xml:space="preserve">Dans le cas qui nous intéresse ici, la participation des associations et parties prenantes les plus concernées est demeurée timide et la qualité des plans d’action s’en est ressentie (Vaillancourt et Aubry, 2014). </w:t>
      </w:r>
    </w:p>
    <w:p w14:paraId="68ED695E" w14:textId="77777777" w:rsidR="00320415" w:rsidRDefault="00320415" w:rsidP="00320415"/>
    <w:p w14:paraId="76F0216C" w14:textId="77777777" w:rsidR="00320415" w:rsidRDefault="00885F2C" w:rsidP="00320415">
      <w:pPr>
        <w:pStyle w:val="Paragraphedeliste"/>
        <w:numPr>
          <w:ilvl w:val="0"/>
          <w:numId w:val="29"/>
        </w:numPr>
      </w:pPr>
      <w:r w:rsidRPr="00320415">
        <w:rPr>
          <w:i/>
        </w:rPr>
        <w:t>La participation des acteurs de l’ESS à la co-production des politiques étudiées est plus forte et stable que leur participation à la co-construction de ces mêmes politiques.</w:t>
      </w:r>
      <w:r>
        <w:t xml:space="preserve"> Ce constat n’est pas une surprise. Dans les sociétés du Nord comme du Sud, la participation de certains acteurs de l’ESS ou du tiers secteur à la mise en application de certaines politiques publiques</w:t>
      </w:r>
      <w:r w:rsidR="00FF1239">
        <w:t>, notamment dans le domaine des services collectifs,</w:t>
      </w:r>
      <w:r>
        <w:t xml:space="preserve"> est </w:t>
      </w:r>
      <w:r w:rsidRPr="003942D0">
        <w:t>une réalité depuis des siècles</w:t>
      </w:r>
      <w:r w:rsidR="00F640DB">
        <w:t xml:space="preserve">. Toutefois, </w:t>
      </w:r>
      <w:r w:rsidR="00F640DB" w:rsidRPr="003942D0">
        <w:t>la participation</w:t>
      </w:r>
      <w:r w:rsidR="00F640DB">
        <w:t xml:space="preserve"> de l’ESS</w:t>
      </w:r>
      <w:r w:rsidR="0093177E">
        <w:t xml:space="preserve"> à la</w:t>
      </w:r>
      <w:r w:rsidR="00F640DB">
        <w:t xml:space="preserve"> co-production</w:t>
      </w:r>
      <w:r w:rsidR="008802C0">
        <w:t xml:space="preserve"> d’une politique</w:t>
      </w:r>
      <w:r w:rsidR="00F640DB">
        <w:t xml:space="preserve">, même à forte intensité, </w:t>
      </w:r>
      <w:r w:rsidR="008802C0">
        <w:t>ne permet pas de postuler que l’ESS se trouve aussi en mode de co-construction de cette politique.</w:t>
      </w:r>
    </w:p>
    <w:p w14:paraId="753F2A1C" w14:textId="77777777" w:rsidR="00320415" w:rsidRDefault="00320415" w:rsidP="00320415"/>
    <w:p w14:paraId="133F7A5F" w14:textId="77777777" w:rsidR="00885F2C" w:rsidRDefault="008802C0" w:rsidP="00320415">
      <w:pPr>
        <w:pStyle w:val="Paragraphedeliste"/>
        <w:numPr>
          <w:ilvl w:val="0"/>
          <w:numId w:val="29"/>
        </w:numPr>
      </w:pPr>
      <w:r>
        <w:t xml:space="preserve"> </w:t>
      </w:r>
      <w:r w:rsidR="00C64DEC" w:rsidRPr="00320415">
        <w:rPr>
          <w:i/>
        </w:rPr>
        <w:t>La co-construction démocratique de politiques publiques qui concernent le tiers secteur implique des délibérations publiques et ouvertes auxquelles participent non seulement les acteurs de l’ESS, mais aussi d’autres acteurs de la société civile et du marché du travail, notamment les acteurs du se</w:t>
      </w:r>
      <w:r w:rsidR="00FF1239">
        <w:rPr>
          <w:i/>
        </w:rPr>
        <w:t xml:space="preserve">cteur public, du secteur privé et </w:t>
      </w:r>
      <w:r w:rsidR="00C64DEC" w:rsidRPr="00320415">
        <w:rPr>
          <w:i/>
        </w:rPr>
        <w:t>des mouvements sociaux</w:t>
      </w:r>
      <w:r w:rsidR="00C64DEC">
        <w:t xml:space="preserve">. C’est justement parce que cette condition était remplie que les politiques québécoises en matière de logement social et de services de garde </w:t>
      </w:r>
      <w:r w:rsidR="00076380" w:rsidRPr="008B7BEF">
        <w:t>à l’enfance</w:t>
      </w:r>
      <w:r w:rsidR="00076380">
        <w:t xml:space="preserve"> </w:t>
      </w:r>
      <w:r w:rsidR="00C64DEC">
        <w:t>peuvent être considérées comme relevant d’une véritable co-construction démocratique.</w:t>
      </w:r>
      <w:r>
        <w:t xml:space="preserve"> </w:t>
      </w:r>
      <w:r w:rsidR="00F640DB">
        <w:t xml:space="preserve"> </w:t>
      </w:r>
    </w:p>
    <w:p w14:paraId="05464E48" w14:textId="77777777" w:rsidR="0093177E" w:rsidRDefault="0093177E" w:rsidP="0093177E"/>
    <w:p w14:paraId="7535C35F" w14:textId="77777777" w:rsidR="0093177E" w:rsidRPr="0093177E" w:rsidRDefault="0093177E" w:rsidP="00AC7E0F">
      <w:pPr>
        <w:rPr>
          <w:smallCaps/>
        </w:rPr>
      </w:pPr>
    </w:p>
    <w:p w14:paraId="2A94FB97" w14:textId="77777777" w:rsidR="008500C1" w:rsidRDefault="00984241" w:rsidP="008500C1">
      <w:pPr>
        <w:rPr>
          <w:b/>
        </w:rPr>
      </w:pPr>
      <w:bookmarkStart w:id="11" w:name="_Toc405129028"/>
      <w:r w:rsidRPr="00984241">
        <w:rPr>
          <w:rStyle w:val="Titre1Car"/>
          <w:color w:val="auto"/>
        </w:rPr>
        <w:t>Partie 4</w:t>
      </w:r>
      <w:r w:rsidRPr="00984241">
        <w:rPr>
          <w:rStyle w:val="Titre1Car"/>
          <w:color w:val="auto"/>
        </w:rPr>
        <w:br/>
      </w:r>
      <w:r w:rsidR="008500C1" w:rsidRPr="00984241">
        <w:rPr>
          <w:rStyle w:val="Titre1Car"/>
          <w:color w:val="auto"/>
        </w:rPr>
        <w:t>ENSEIGNEMENTS TIRÉS</w:t>
      </w:r>
      <w:r w:rsidR="00F13E8A" w:rsidRPr="00984241">
        <w:rPr>
          <w:rStyle w:val="Titre1Car"/>
          <w:color w:val="auto"/>
        </w:rPr>
        <w:t xml:space="preserve"> D’</w:t>
      </w:r>
      <w:r w:rsidR="008500C1" w:rsidRPr="00984241">
        <w:rPr>
          <w:rStyle w:val="Titre1Car"/>
          <w:color w:val="auto"/>
        </w:rPr>
        <w:t>EXPÉRIENCES LATINO</w:t>
      </w:r>
      <w:r w:rsidR="007F4483" w:rsidRPr="00984241">
        <w:rPr>
          <w:rStyle w:val="Titre1Car"/>
          <w:color w:val="auto"/>
        </w:rPr>
        <w:t>-</w:t>
      </w:r>
      <w:r w:rsidR="008500C1" w:rsidRPr="00984241">
        <w:rPr>
          <w:rStyle w:val="Titre1Car"/>
          <w:color w:val="auto"/>
        </w:rPr>
        <w:t>AMÉRICAINES</w:t>
      </w:r>
      <w:r w:rsidR="00666B6D" w:rsidRPr="00984241">
        <w:rPr>
          <w:rStyle w:val="Titre1Car"/>
          <w:color w:val="auto"/>
          <w:vertAlign w:val="superscript"/>
        </w:rPr>
        <w:footnoteReference w:id="13"/>
      </w:r>
      <w:bookmarkEnd w:id="11"/>
      <w:r w:rsidR="00D07F66" w:rsidRPr="00984241">
        <w:rPr>
          <w:rStyle w:val="Titre1Car"/>
          <w:color w:val="auto"/>
          <w:vertAlign w:val="superscript"/>
        </w:rPr>
        <w:t xml:space="preserve"> </w:t>
      </w:r>
    </w:p>
    <w:p w14:paraId="30848EDF" w14:textId="77777777" w:rsidR="00BF0123" w:rsidRDefault="007F4483" w:rsidP="008500C1">
      <w:r>
        <w:t xml:space="preserve">Dans la conjoncture internationale actuelle, marquée par </w:t>
      </w:r>
      <w:r w:rsidRPr="002953D7">
        <w:t xml:space="preserve">la </w:t>
      </w:r>
      <w:r w:rsidR="002953D7">
        <w:t>crise financière</w:t>
      </w:r>
      <w:r w:rsidRPr="002953D7">
        <w:t xml:space="preserve"> de 2008</w:t>
      </w:r>
      <w:r>
        <w:t xml:space="preserve">, </w:t>
      </w:r>
      <w:r w:rsidR="00CC08E6">
        <w:t>nous trouverions</w:t>
      </w:r>
      <w:r>
        <w:t xml:space="preserve"> cela limitatif</w:t>
      </w:r>
      <w:r w:rsidR="00B94CB3">
        <w:t xml:space="preserve"> </w:t>
      </w:r>
      <w:r w:rsidR="0015549E">
        <w:t>sur le plan de</w:t>
      </w:r>
      <w:r w:rsidR="00CC08E6">
        <w:t xml:space="preserve"> l’innovation </w:t>
      </w:r>
      <w:r>
        <w:t>de réfléchir sur la</w:t>
      </w:r>
      <w:r w:rsidR="00BB13D7">
        <w:t xml:space="preserve"> participation de l’ESS </w:t>
      </w:r>
      <w:r w:rsidR="00BB13D7" w:rsidRPr="003942D0">
        <w:t>à</w:t>
      </w:r>
      <w:r w:rsidRPr="003942D0">
        <w:t xml:space="preserve"> </w:t>
      </w:r>
      <w:r w:rsidR="000B6AD8" w:rsidRPr="003942D0">
        <w:t xml:space="preserve">la </w:t>
      </w:r>
      <w:r w:rsidRPr="003942D0">
        <w:t>co</w:t>
      </w:r>
      <w:r>
        <w:t>-construction démocratique</w:t>
      </w:r>
      <w:r w:rsidR="00F81CB2">
        <w:t xml:space="preserve"> des politiques</w:t>
      </w:r>
      <w:r>
        <w:t xml:space="preserve"> en </w:t>
      </w:r>
      <w:r w:rsidR="0015549E">
        <w:t>s</w:t>
      </w:r>
      <w:r w:rsidR="00895BCE">
        <w:t>’appuyant</w:t>
      </w:r>
      <w:r w:rsidR="00BB13D7">
        <w:t xml:space="preserve"> seulement</w:t>
      </w:r>
      <w:r>
        <w:t xml:space="preserve"> </w:t>
      </w:r>
      <w:r w:rsidR="00895BCE">
        <w:t xml:space="preserve">sur des </w:t>
      </w:r>
      <w:r>
        <w:t xml:space="preserve">exemples nord-américains et européens. </w:t>
      </w:r>
      <w:r w:rsidR="0015549E">
        <w:t>C’est la raison pour laquelle nous nous intéressons</w:t>
      </w:r>
      <w:r w:rsidR="00AD1CF0">
        <w:t xml:space="preserve"> aux</w:t>
      </w:r>
      <w:r w:rsidR="002D4B8C">
        <w:t xml:space="preserve"> enseignements que l’on peut tirer des</w:t>
      </w:r>
      <w:r>
        <w:t xml:space="preserve"> expérimentations, recherches et débats en cours dans la région de l’</w:t>
      </w:r>
      <w:r w:rsidR="0015549E">
        <w:t>Amérique latine et des Caraïbes (</w:t>
      </w:r>
      <w:r>
        <w:t>ALC</w:t>
      </w:r>
      <w:r w:rsidR="0015549E">
        <w:t>)</w:t>
      </w:r>
      <w:r w:rsidR="0076255C">
        <w:t xml:space="preserve">. </w:t>
      </w:r>
      <w:r w:rsidR="00895BCE">
        <w:t>Avec d’autres</w:t>
      </w:r>
      <w:r w:rsidR="0076255C">
        <w:t xml:space="preserve">, </w:t>
      </w:r>
      <w:r w:rsidR="0015549E">
        <w:t>nous considérons</w:t>
      </w:r>
      <w:r w:rsidR="00895BCE">
        <w:t xml:space="preserve"> que </w:t>
      </w:r>
      <w:r w:rsidR="0076255C">
        <w:t xml:space="preserve">cette </w:t>
      </w:r>
      <w:r w:rsidR="002D4B8C">
        <w:t>région</w:t>
      </w:r>
      <w:r w:rsidR="00EC3DBB">
        <w:t xml:space="preserve"> constitue</w:t>
      </w:r>
      <w:r w:rsidR="0015549E">
        <w:t>,</w:t>
      </w:r>
      <w:r w:rsidR="00EC3DBB">
        <w:t xml:space="preserve"> </w:t>
      </w:r>
      <w:r w:rsidR="002D4B8C">
        <w:t>depuis la fin des années 1990</w:t>
      </w:r>
      <w:r w:rsidR="0015549E">
        <w:t>,</w:t>
      </w:r>
      <w:r w:rsidR="002D4B8C">
        <w:t xml:space="preserve"> </w:t>
      </w:r>
      <w:r w:rsidR="00EC3DBB">
        <w:t xml:space="preserve">un laboratoire </w:t>
      </w:r>
      <w:r w:rsidR="0015549E">
        <w:t xml:space="preserve">riche et inspirant pour </w:t>
      </w:r>
      <w:r w:rsidR="0015549E">
        <w:lastRenderedPageBreak/>
        <w:t xml:space="preserve">les </w:t>
      </w:r>
      <w:r w:rsidR="00895BCE">
        <w:t>innovations sociopolitiques</w:t>
      </w:r>
      <w:r w:rsidR="0076255C">
        <w:t>, notamment au chapitre de la</w:t>
      </w:r>
      <w:r w:rsidR="00BF0123">
        <w:t xml:space="preserve"> co</w:t>
      </w:r>
      <w:r w:rsidR="00435F3E">
        <w:t>-</w:t>
      </w:r>
      <w:r w:rsidR="00435F3E" w:rsidRPr="003942D0">
        <w:t>construction démocratique</w:t>
      </w:r>
      <w:r w:rsidR="00EC3DBB" w:rsidRPr="003942D0">
        <w:rPr>
          <w:rStyle w:val="Marquenotebasdepage"/>
        </w:rPr>
        <w:footnoteReference w:id="14"/>
      </w:r>
      <w:r w:rsidRPr="003942D0">
        <w:t>.</w:t>
      </w:r>
      <w:r>
        <w:t xml:space="preserve"> </w:t>
      </w:r>
    </w:p>
    <w:p w14:paraId="6869D1A2" w14:textId="77777777" w:rsidR="00BF0123" w:rsidRDefault="00BF0123" w:rsidP="008500C1"/>
    <w:p w14:paraId="3E9C1EC6" w14:textId="77777777" w:rsidR="008500C1" w:rsidRDefault="0076255C" w:rsidP="008500C1">
      <w:r>
        <w:t xml:space="preserve">Les réflexions </w:t>
      </w:r>
      <w:r w:rsidR="00BF0123">
        <w:t>avancées</w:t>
      </w:r>
      <w:r>
        <w:t xml:space="preserve"> dans cette section, à la différence de celles présentées dans les sections </w:t>
      </w:r>
      <w:r w:rsidR="00895BCE">
        <w:t>antérieures</w:t>
      </w:r>
      <w:r>
        <w:t xml:space="preserve">, sont </w:t>
      </w:r>
      <w:r w:rsidR="00DD3C2F">
        <w:t>alimentées</w:t>
      </w:r>
      <w:r>
        <w:t xml:space="preserve"> </w:t>
      </w:r>
      <w:r w:rsidR="00DD3C2F">
        <w:t>non pas à partir d’</w:t>
      </w:r>
      <w:r w:rsidR="00ED5B65">
        <w:t>études de cas</w:t>
      </w:r>
      <w:r>
        <w:t xml:space="preserve"> que </w:t>
      </w:r>
      <w:r w:rsidR="00BF0123">
        <w:t>nous aurions</w:t>
      </w:r>
      <w:r>
        <w:t xml:space="preserve"> menées</w:t>
      </w:r>
      <w:r w:rsidR="00DD3C2F">
        <w:t xml:space="preserve"> personnellement</w:t>
      </w:r>
      <w:r w:rsidR="003825D1">
        <w:t xml:space="preserve">, mais davantage </w:t>
      </w:r>
      <w:r w:rsidR="00DD3C2F">
        <w:t>à partir de</w:t>
      </w:r>
      <w:r w:rsidR="003825D1">
        <w:t xml:space="preserve"> recensions d’écrits</w:t>
      </w:r>
      <w:r w:rsidR="00895BCE">
        <w:t xml:space="preserve"> que </w:t>
      </w:r>
      <w:r w:rsidR="00BF0123">
        <w:t>nous avons faites</w:t>
      </w:r>
      <w:r w:rsidR="00DD3C2F">
        <w:t xml:space="preserve"> et </w:t>
      </w:r>
      <w:r w:rsidR="003825D1">
        <w:t>d’échanges</w:t>
      </w:r>
      <w:r w:rsidR="00895BCE">
        <w:t xml:space="preserve"> que </w:t>
      </w:r>
      <w:r w:rsidR="00BF0123">
        <w:t xml:space="preserve">nous avons </w:t>
      </w:r>
      <w:r w:rsidR="003825D1">
        <w:t>poursuivis</w:t>
      </w:r>
      <w:r w:rsidR="00BF0123">
        <w:t>,</w:t>
      </w:r>
      <w:r w:rsidR="003825D1">
        <w:t xml:space="preserve"> depuis une quinzaine d’années</w:t>
      </w:r>
      <w:r w:rsidR="00BF0123">
        <w:t>,</w:t>
      </w:r>
      <w:r w:rsidR="003825D1">
        <w:t xml:space="preserve"> avec certains réseaux de chercheurs et d’intervenants</w:t>
      </w:r>
      <w:r w:rsidR="00FF52A1">
        <w:t xml:space="preserve"> intéressés à la démocratisation de l’économie et de la société</w:t>
      </w:r>
      <w:r w:rsidR="00895BCE">
        <w:t xml:space="preserve">, notamment </w:t>
      </w:r>
      <w:r w:rsidR="00BF0123">
        <w:t>avec</w:t>
      </w:r>
      <w:r w:rsidR="00895BCE">
        <w:t xml:space="preserve"> des réseau</w:t>
      </w:r>
      <w:r w:rsidR="00A9687D">
        <w:t>x d’</w:t>
      </w:r>
      <w:r w:rsidR="00895BCE">
        <w:t>ESS</w:t>
      </w:r>
      <w:r w:rsidR="003825D1">
        <w:t>.</w:t>
      </w:r>
      <w:r w:rsidR="007F4483">
        <w:t xml:space="preserve"> </w:t>
      </w:r>
    </w:p>
    <w:p w14:paraId="0655737D" w14:textId="77777777" w:rsidR="008E0770" w:rsidRDefault="008E0770" w:rsidP="008500C1"/>
    <w:p w14:paraId="173C48EC" w14:textId="77777777" w:rsidR="008E0770" w:rsidRDefault="008E0770" w:rsidP="008500C1">
      <w:r>
        <w:t>Nos réflexions dans cette section sont regroupées à partir de quatre sous-thèmes. Un, la co-construction existe d</w:t>
      </w:r>
      <w:r w:rsidR="00E209FE">
        <w:t>ifficilement dans les pays gouvernés par des néolibéraux comme le Mexique. Deux, l’expérience des budgets participatifs au plan local dans certains pays comme le Brésil</w:t>
      </w:r>
      <w:r w:rsidR="00D24945">
        <w:t xml:space="preserve"> s’apparente à un chantier pour la co-construction</w:t>
      </w:r>
      <w:r w:rsidR="00E209FE">
        <w:t>. Trois, la co-construction démocratique est possible</w:t>
      </w:r>
      <w:r w:rsidR="00D24945">
        <w:t>,</w:t>
      </w:r>
      <w:r w:rsidR="00E209FE">
        <w:t xml:space="preserve"> mais rencontre </w:t>
      </w:r>
      <w:r w:rsidR="000D2A77">
        <w:t xml:space="preserve">présentement </w:t>
      </w:r>
      <w:r w:rsidR="00E209FE">
        <w:t>des écueils</w:t>
      </w:r>
      <w:r w:rsidR="00D24945">
        <w:t>,</w:t>
      </w:r>
      <w:r w:rsidR="00E209FE">
        <w:t xml:space="preserve"> dans des pays dotés de gouvernements de gauche comme le Venezuela, la Bolivie et l’Équateur. Quatre, les </w:t>
      </w:r>
      <w:r w:rsidR="00C16C40">
        <w:t xml:space="preserve">débats en cours sur </w:t>
      </w:r>
      <w:r w:rsidR="00C16C40" w:rsidRPr="003942D0">
        <w:t>l</w:t>
      </w:r>
      <w:r w:rsidR="00E209FE" w:rsidRPr="003942D0">
        <w:t xml:space="preserve">’assemblée constituante </w:t>
      </w:r>
      <w:r w:rsidR="000B6AD8" w:rsidRPr="003942D0">
        <w:t>au</w:t>
      </w:r>
      <w:r w:rsidR="00E209FE" w:rsidRPr="003942D0">
        <w:t xml:space="preserve"> Chili dirigé par</w:t>
      </w:r>
      <w:r w:rsidR="00E209FE">
        <w:t xml:space="preserve"> un nouveau gouvernement Bachelet</w:t>
      </w:r>
      <w:r w:rsidR="00C16C40">
        <w:t xml:space="preserve"> comportent des enseignements sur la co-construction démocratique</w:t>
      </w:r>
      <w:r w:rsidR="00E209FE">
        <w:t xml:space="preserve">. </w:t>
      </w:r>
    </w:p>
    <w:p w14:paraId="7EC63649" w14:textId="77777777" w:rsidR="00D52C18" w:rsidRPr="00984241" w:rsidRDefault="002F4CB6" w:rsidP="00984241">
      <w:pPr>
        <w:pStyle w:val="Titre2"/>
        <w:spacing w:before="360"/>
        <w:rPr>
          <w:color w:val="auto"/>
          <w:sz w:val="28"/>
          <w:szCs w:val="28"/>
        </w:rPr>
      </w:pPr>
      <w:bookmarkStart w:id="12" w:name="_Toc405129029"/>
      <w:r w:rsidRPr="00984241">
        <w:rPr>
          <w:color w:val="auto"/>
          <w:sz w:val="28"/>
          <w:szCs w:val="28"/>
        </w:rPr>
        <w:lastRenderedPageBreak/>
        <w:t xml:space="preserve">4.1 </w:t>
      </w:r>
      <w:r w:rsidR="00F41C59" w:rsidRPr="00984241">
        <w:rPr>
          <w:color w:val="auto"/>
          <w:sz w:val="28"/>
          <w:szCs w:val="28"/>
        </w:rPr>
        <w:t>Impasse</w:t>
      </w:r>
      <w:r w:rsidR="00A01E94" w:rsidRPr="00984241">
        <w:rPr>
          <w:color w:val="auto"/>
          <w:sz w:val="28"/>
          <w:szCs w:val="28"/>
        </w:rPr>
        <w:t xml:space="preserve"> </w:t>
      </w:r>
      <w:r w:rsidR="0041439E" w:rsidRPr="00984241">
        <w:rPr>
          <w:color w:val="auto"/>
          <w:sz w:val="28"/>
          <w:szCs w:val="28"/>
        </w:rPr>
        <w:t>de</w:t>
      </w:r>
      <w:r w:rsidR="008B0959" w:rsidRPr="00984241">
        <w:rPr>
          <w:color w:val="auto"/>
          <w:sz w:val="28"/>
          <w:szCs w:val="28"/>
        </w:rPr>
        <w:t xml:space="preserve"> la</w:t>
      </w:r>
      <w:r w:rsidR="0041439E" w:rsidRPr="00984241">
        <w:rPr>
          <w:color w:val="auto"/>
          <w:sz w:val="28"/>
          <w:szCs w:val="28"/>
        </w:rPr>
        <w:t xml:space="preserve"> </w:t>
      </w:r>
      <w:r w:rsidR="00D52C18" w:rsidRPr="00984241">
        <w:rPr>
          <w:color w:val="auto"/>
          <w:sz w:val="28"/>
          <w:szCs w:val="28"/>
        </w:rPr>
        <w:t xml:space="preserve">co-construction </w:t>
      </w:r>
      <w:r w:rsidR="00677100" w:rsidRPr="00984241">
        <w:rPr>
          <w:color w:val="auto"/>
          <w:sz w:val="28"/>
          <w:szCs w:val="28"/>
        </w:rPr>
        <w:t>au</w:t>
      </w:r>
      <w:r w:rsidR="006608BA" w:rsidRPr="00984241">
        <w:rPr>
          <w:color w:val="auto"/>
          <w:sz w:val="28"/>
          <w:szCs w:val="28"/>
        </w:rPr>
        <w:t xml:space="preserve"> Mexique</w:t>
      </w:r>
      <w:r w:rsidR="003E42A2" w:rsidRPr="00984241">
        <w:rPr>
          <w:rStyle w:val="Marquenotebasdepage"/>
          <w:color w:val="auto"/>
          <w:sz w:val="28"/>
          <w:szCs w:val="28"/>
        </w:rPr>
        <w:footnoteReference w:id="15"/>
      </w:r>
      <w:bookmarkEnd w:id="12"/>
    </w:p>
    <w:p w14:paraId="151D8356" w14:textId="77777777" w:rsidR="00817586" w:rsidRDefault="00440E8A" w:rsidP="003F2FB4">
      <w:r>
        <w:t xml:space="preserve">La co-construction démocratique est difficile à pratiquer, sinon impraticable, dans des </w:t>
      </w:r>
      <w:r w:rsidR="00681EEF">
        <w:t>pays</w:t>
      </w:r>
      <w:r>
        <w:t xml:space="preserve"> dirigé</w:t>
      </w:r>
      <w:r w:rsidR="00C16C40">
        <w:t>s</w:t>
      </w:r>
      <w:r>
        <w:t xml:space="preserve"> par des </w:t>
      </w:r>
      <w:r w:rsidR="00C16C40">
        <w:t xml:space="preserve">gouvernements </w:t>
      </w:r>
      <w:r>
        <w:t>néolibéraux</w:t>
      </w:r>
      <w:r w:rsidR="00C16C40">
        <w:t>,</w:t>
      </w:r>
      <w:r>
        <w:t xml:space="preserve"> comme c’est</w:t>
      </w:r>
      <w:r w:rsidR="00FF52A1">
        <w:t xml:space="preserve"> </w:t>
      </w:r>
      <w:r>
        <w:t>le cas présentement au</w:t>
      </w:r>
      <w:r w:rsidR="00A26B63">
        <w:t xml:space="preserve"> Mexique, </w:t>
      </w:r>
      <w:r>
        <w:t>en Colombie, au Panama, au Honduras</w:t>
      </w:r>
      <w:r w:rsidR="00B20E7A">
        <w:t>,</w:t>
      </w:r>
      <w:r>
        <w:t xml:space="preserve">  </w:t>
      </w:r>
      <w:r w:rsidR="00286B49">
        <w:t xml:space="preserve">au Guatemala, </w:t>
      </w:r>
      <w:r>
        <w:t>en République dominicaine</w:t>
      </w:r>
      <w:r w:rsidR="00A26B63">
        <w:t>,</w:t>
      </w:r>
      <w:r>
        <w:t xml:space="preserve"> au Paraguay, etc</w:t>
      </w:r>
      <w:r w:rsidR="00681EEF">
        <w:t>.</w:t>
      </w:r>
      <w:r w:rsidR="00C9718C">
        <w:rPr>
          <w:rStyle w:val="Marquenotebasdepage"/>
        </w:rPr>
        <w:footnoteReference w:id="16"/>
      </w:r>
      <w:r w:rsidR="00A26B63">
        <w:t xml:space="preserve"> </w:t>
      </w:r>
    </w:p>
    <w:p w14:paraId="2844349D" w14:textId="77777777" w:rsidR="00817586" w:rsidRDefault="00817586" w:rsidP="003F2FB4"/>
    <w:p w14:paraId="5BA3319E" w14:textId="77777777" w:rsidR="00A26B63" w:rsidRDefault="0005584C" w:rsidP="003F2FB4">
      <w:r>
        <w:t xml:space="preserve">Le cas du Mexique, </w:t>
      </w:r>
      <w:r w:rsidR="00C16C40">
        <w:t xml:space="preserve">un pays fédéraliste très centralisé gouverné </w:t>
      </w:r>
      <w:r>
        <w:t xml:space="preserve">par des néolibéraux depuis </w:t>
      </w:r>
      <w:r w:rsidR="009667C3">
        <w:t>quelques</w:t>
      </w:r>
      <w:r>
        <w:t xml:space="preserve"> décennies</w:t>
      </w:r>
      <w:r w:rsidR="00397A23">
        <w:t>,</w:t>
      </w:r>
      <w:r>
        <w:t xml:space="preserve"> est intéressant à examiner à cet égard</w:t>
      </w:r>
      <w:r w:rsidRPr="008B0959">
        <w:t>.</w:t>
      </w:r>
      <w:r w:rsidRPr="003942D0">
        <w:t xml:space="preserve"> </w:t>
      </w:r>
      <w:r w:rsidR="00681886" w:rsidRPr="003942D0">
        <w:t>C’est</w:t>
      </w:r>
      <w:r w:rsidR="00E74B51" w:rsidRPr="003942D0">
        <w:t xml:space="preserve"> ce que fait </w:t>
      </w:r>
      <w:r w:rsidR="000B6AD8" w:rsidRPr="003942D0">
        <w:t xml:space="preserve">John Ackerman, </w:t>
      </w:r>
      <w:r w:rsidR="00397A23" w:rsidRPr="003942D0">
        <w:t>un</w:t>
      </w:r>
      <w:r w:rsidR="00681886" w:rsidRPr="003942D0">
        <w:t xml:space="preserve"> politologue mexicain </w:t>
      </w:r>
      <w:r w:rsidR="00E74B51" w:rsidRPr="003942D0">
        <w:t>de gauche</w:t>
      </w:r>
      <w:r w:rsidR="00E74B51">
        <w:t>. T</w:t>
      </w:r>
      <w:r w:rsidR="00681886">
        <w:t xml:space="preserve">out en véhiculant une </w:t>
      </w:r>
      <w:r w:rsidR="00C16C40">
        <w:t>position de principe favorable à</w:t>
      </w:r>
      <w:r w:rsidR="00681886">
        <w:t xml:space="preserve"> la « co-go</w:t>
      </w:r>
      <w:r w:rsidR="007D7A02">
        <w:t>u</w:t>
      </w:r>
      <w:r w:rsidR="00681886">
        <w:t>vernance »</w:t>
      </w:r>
      <w:r w:rsidR="0005201A">
        <w:t>,</w:t>
      </w:r>
      <w:r w:rsidR="00681886">
        <w:t xml:space="preserve"> qui </w:t>
      </w:r>
      <w:r w:rsidR="004153CA">
        <w:t>s’harmonise bien avec</w:t>
      </w:r>
      <w:r w:rsidR="00681886">
        <w:t xml:space="preserve"> </w:t>
      </w:r>
      <w:r w:rsidR="00C16C40">
        <w:t>notre problématique de</w:t>
      </w:r>
      <w:r w:rsidR="00E74B51">
        <w:t xml:space="preserve"> co-construction</w:t>
      </w:r>
      <w:r w:rsidR="00C16C40">
        <w:t xml:space="preserve"> démocratique</w:t>
      </w:r>
      <w:r w:rsidR="00E74B51">
        <w:t xml:space="preserve">, </w:t>
      </w:r>
      <w:r w:rsidR="00C16C40">
        <w:t>dans les ar</w:t>
      </w:r>
      <w:r w:rsidR="00681886">
        <w:t>ticles engagés qu’</w:t>
      </w:r>
      <w:r w:rsidR="00FF52A1">
        <w:t xml:space="preserve">il publie régulièrement </w:t>
      </w:r>
      <w:r w:rsidR="00681886">
        <w:t>dans</w:t>
      </w:r>
      <w:r w:rsidR="00FF52A1">
        <w:t xml:space="preserve"> </w:t>
      </w:r>
      <w:r w:rsidR="00681886">
        <w:rPr>
          <w:i/>
        </w:rPr>
        <w:t>La Jornada</w:t>
      </w:r>
      <w:r w:rsidR="00681886">
        <w:t xml:space="preserve">, </w:t>
      </w:r>
      <w:r w:rsidR="00E60720">
        <w:t xml:space="preserve">Ackerman (2012) </w:t>
      </w:r>
      <w:r w:rsidR="00E74B51">
        <w:t>revient</w:t>
      </w:r>
      <w:r w:rsidR="004E373D">
        <w:t xml:space="preserve"> constamment à la charge, à pa</w:t>
      </w:r>
      <w:r w:rsidR="00397A23">
        <w:t xml:space="preserve">rtir de nouveaux cas concrets illustrant des </w:t>
      </w:r>
      <w:r w:rsidR="004E373D">
        <w:t>atteintes aux droits humains, pour</w:t>
      </w:r>
      <w:r w:rsidR="00681886">
        <w:t xml:space="preserve"> dénonce</w:t>
      </w:r>
      <w:r w:rsidR="00397A23">
        <w:t>r les politiques</w:t>
      </w:r>
      <w:r w:rsidR="004E373D">
        <w:t xml:space="preserve"> gouvernementale</w:t>
      </w:r>
      <w:r w:rsidR="00397A23">
        <w:t>s ultralibérales</w:t>
      </w:r>
      <w:r w:rsidR="004E373D">
        <w:t xml:space="preserve"> et </w:t>
      </w:r>
      <w:r w:rsidR="00681886">
        <w:t xml:space="preserve">célébrer les résistances </w:t>
      </w:r>
      <w:r w:rsidR="004E373D">
        <w:t>populaires</w:t>
      </w:r>
      <w:r w:rsidR="00367A86">
        <w:t xml:space="preserve"> (2014a</w:t>
      </w:r>
      <w:r w:rsidR="0019577F">
        <w:t xml:space="preserve">, </w:t>
      </w:r>
      <w:r w:rsidR="00681886">
        <w:t>2014b</w:t>
      </w:r>
      <w:r w:rsidR="0019577F">
        <w:t xml:space="preserve"> et 2014c</w:t>
      </w:r>
      <w:r w:rsidR="00681886">
        <w:t>)</w:t>
      </w:r>
      <w:r w:rsidR="00817586">
        <w:t>. « </w:t>
      </w:r>
      <w:r w:rsidR="00E74B51">
        <w:t>Un gouvernement sourd, un</w:t>
      </w:r>
      <w:r w:rsidR="00397A23">
        <w:t xml:space="preserve"> peuple indign</w:t>
      </w:r>
      <w:r w:rsidR="004E373D">
        <w:t>é</w:t>
      </w:r>
      <w:r w:rsidR="00817586">
        <w:t> »</w:t>
      </w:r>
      <w:r w:rsidR="00356F8E">
        <w:t>,</w:t>
      </w:r>
      <w:r w:rsidR="00817586">
        <w:t xml:space="preserve"> </w:t>
      </w:r>
      <w:r w:rsidR="00F173E8">
        <w:t>voilà</w:t>
      </w:r>
      <w:r w:rsidR="00817586">
        <w:t xml:space="preserve"> le titre</w:t>
      </w:r>
      <w:r w:rsidR="004E373D">
        <w:t xml:space="preserve"> </w:t>
      </w:r>
      <w:r w:rsidR="00397A23">
        <w:t>accrocheur</w:t>
      </w:r>
      <w:r w:rsidR="00F173E8">
        <w:t xml:space="preserve"> choisi par Ackerman dans</w:t>
      </w:r>
      <w:r w:rsidR="00817586">
        <w:t xml:space="preserve"> </w:t>
      </w:r>
      <w:r w:rsidR="00687355">
        <w:t>un</w:t>
      </w:r>
      <w:r w:rsidR="00817586">
        <w:t xml:space="preserve"> article</w:t>
      </w:r>
      <w:r w:rsidR="00687355">
        <w:t xml:space="preserve"> récent</w:t>
      </w:r>
      <w:r w:rsidR="00367A86">
        <w:t xml:space="preserve"> (2014</w:t>
      </w:r>
      <w:r w:rsidR="0019577F">
        <w:t>c</w:t>
      </w:r>
      <w:r w:rsidR="004E373D">
        <w:t>)</w:t>
      </w:r>
      <w:r w:rsidR="00687355">
        <w:t xml:space="preserve"> </w:t>
      </w:r>
      <w:r w:rsidR="00F173E8">
        <w:t>pour</w:t>
      </w:r>
      <w:r w:rsidR="00687355">
        <w:t xml:space="preserve"> </w:t>
      </w:r>
      <w:r w:rsidR="00817586">
        <w:t>témoigne</w:t>
      </w:r>
      <w:r w:rsidR="00F173E8">
        <w:t>r</w:t>
      </w:r>
      <w:r w:rsidR="00817586">
        <w:t xml:space="preserve"> de </w:t>
      </w:r>
      <w:r w:rsidR="004E373D">
        <w:t>l’impasse</w:t>
      </w:r>
      <w:r w:rsidR="00397A23">
        <w:t xml:space="preserve"> actuelle</w:t>
      </w:r>
      <w:r w:rsidR="004E373D">
        <w:t xml:space="preserve"> de la participation populaire, dans</w:t>
      </w:r>
      <w:r w:rsidR="00817586">
        <w:t xml:space="preserve"> la co-construction démocratique au Mexique. </w:t>
      </w:r>
      <w:r w:rsidR="003858E4">
        <w:t>L</w:t>
      </w:r>
      <w:r w:rsidR="00817586">
        <w:t xml:space="preserve">e nouveau président, Enrique </w:t>
      </w:r>
      <w:r w:rsidR="00817586" w:rsidRPr="00887C9C">
        <w:t>Peña Nieto</w:t>
      </w:r>
      <w:r w:rsidR="004E373D">
        <w:t xml:space="preserve"> du PRI</w:t>
      </w:r>
      <w:r w:rsidR="00B410DF">
        <w:t xml:space="preserve"> (Parti révolutionnaire institutionnel)</w:t>
      </w:r>
      <w:r w:rsidR="00817586">
        <w:t xml:space="preserve">, </w:t>
      </w:r>
      <w:r w:rsidR="00B410DF">
        <w:t>a</w:t>
      </w:r>
      <w:r w:rsidR="00356F8E">
        <w:t xml:space="preserve"> été </w:t>
      </w:r>
      <w:r w:rsidR="004E373D">
        <w:t>élu</w:t>
      </w:r>
      <w:r w:rsidR="00F173E8">
        <w:t xml:space="preserve"> pour six ans</w:t>
      </w:r>
      <w:r w:rsidR="00632869">
        <w:t xml:space="preserve"> (pour la période 2012-2018)</w:t>
      </w:r>
      <w:r w:rsidR="004E373D">
        <w:t xml:space="preserve"> avec seulement 38% des voix</w:t>
      </w:r>
      <w:r w:rsidR="00B410DF">
        <w:t xml:space="preserve"> dans un système électoral à un tour. </w:t>
      </w:r>
      <w:r w:rsidR="00356F8E">
        <w:t xml:space="preserve"> </w:t>
      </w:r>
      <w:r w:rsidR="00B410DF">
        <w:t>En outre, il est</w:t>
      </w:r>
      <w:r w:rsidR="00356F8E">
        <w:t xml:space="preserve"> minoritaire à l’intérieur des deux chambres</w:t>
      </w:r>
      <w:r w:rsidR="00B410DF">
        <w:t>. Néanmoins, il</w:t>
      </w:r>
      <w:r w:rsidR="00817586">
        <w:t xml:space="preserve"> </w:t>
      </w:r>
      <w:r w:rsidR="00356F8E">
        <w:t xml:space="preserve">parvient à </w:t>
      </w:r>
      <w:r w:rsidR="003858E4">
        <w:t>concentre</w:t>
      </w:r>
      <w:r w:rsidR="00356F8E">
        <w:t>r</w:t>
      </w:r>
      <w:r w:rsidR="00817586">
        <w:t xml:space="preserve"> les pouvoirs autour de la présidence (l’exécutif)</w:t>
      </w:r>
      <w:r w:rsidR="00356F8E">
        <w:t xml:space="preserve"> et à déjouer les prérogatives du </w:t>
      </w:r>
      <w:r w:rsidR="00356F8E">
        <w:lastRenderedPageBreak/>
        <w:t>législatif</w:t>
      </w:r>
      <w:r w:rsidR="00A47783">
        <w:t>. Selon Ackerman : « </w:t>
      </w:r>
      <w:r w:rsidR="00EC3DBB">
        <w:t>Le principal objectif</w:t>
      </w:r>
      <w:r w:rsidR="00A47783">
        <w:t xml:space="preserve"> d’Enrique </w:t>
      </w:r>
      <w:r w:rsidR="00A47783" w:rsidRPr="00A47783">
        <w:t>Peña Nieto</w:t>
      </w:r>
      <w:r w:rsidR="004153CA">
        <w:t>,</w:t>
      </w:r>
      <w:r w:rsidR="00A47783" w:rsidRPr="00887C9C">
        <w:t xml:space="preserve"> </w:t>
      </w:r>
      <w:r w:rsidR="00EC3DBB">
        <w:t>avec toutes ses réformes</w:t>
      </w:r>
      <w:r w:rsidR="004153CA">
        <w:t>,</w:t>
      </w:r>
      <w:r w:rsidR="00EC3DBB">
        <w:t xml:space="preserve"> consiste à centraliser dans le pouvoir exécutif</w:t>
      </w:r>
      <w:r w:rsidR="00A47783" w:rsidRPr="00887C9C">
        <w:t xml:space="preserve"> </w:t>
      </w:r>
      <w:r w:rsidR="00EC3DBB">
        <w:t xml:space="preserve">(…) toutes les décisions clés dans le domaine des télécommunications, de l’énergie et </w:t>
      </w:r>
      <w:r w:rsidR="00397A23">
        <w:t>du système électoral</w:t>
      </w:r>
      <w:r w:rsidR="00EC3DBB">
        <w:t> » (</w:t>
      </w:r>
      <w:r w:rsidR="00A47783">
        <w:t>2014b)</w:t>
      </w:r>
      <w:r w:rsidR="007D7A02">
        <w:rPr>
          <w:rStyle w:val="Marquenotebasdepage"/>
        </w:rPr>
        <w:footnoteReference w:id="17"/>
      </w:r>
      <w:r w:rsidR="00A47783" w:rsidRPr="00887C9C">
        <w:t>.</w:t>
      </w:r>
      <w:r w:rsidR="001E76FB">
        <w:t xml:space="preserve"> </w:t>
      </w:r>
      <w:r w:rsidR="00356F8E" w:rsidRPr="003942D0">
        <w:t xml:space="preserve">C’est ce qui s’est passé </w:t>
      </w:r>
      <w:r w:rsidR="000B6AD8" w:rsidRPr="003942D0">
        <w:t>au cours des deux dernières années</w:t>
      </w:r>
      <w:r w:rsidR="00356F8E" w:rsidRPr="003942D0">
        <w:t xml:space="preserve"> au Mexique </w:t>
      </w:r>
      <w:r w:rsidR="00306BED" w:rsidRPr="003942D0">
        <w:t>pendant lesquelles</w:t>
      </w:r>
      <w:r w:rsidR="00356F8E" w:rsidRPr="003942D0">
        <w:t xml:space="preserve"> le </w:t>
      </w:r>
      <w:r w:rsidR="00306BED" w:rsidRPr="003942D0">
        <w:t>P</w:t>
      </w:r>
      <w:r w:rsidR="00356F8E" w:rsidRPr="003942D0">
        <w:t xml:space="preserve">résident </w:t>
      </w:r>
      <w:r w:rsidR="008061FF" w:rsidRPr="003942D0">
        <w:t>Pe</w:t>
      </w:r>
      <w:r w:rsidR="008061FF" w:rsidRPr="00A47783">
        <w:t>ña Nieto</w:t>
      </w:r>
      <w:r w:rsidR="008061FF">
        <w:t xml:space="preserve"> s’est employé efficacement, dans le domaine des hydrocarbures, à </w:t>
      </w:r>
      <w:r w:rsidR="00A43D03">
        <w:t>dé-construire</w:t>
      </w:r>
      <w:r w:rsidR="008061FF">
        <w:t xml:space="preserve"> les politiques de n</w:t>
      </w:r>
      <w:r w:rsidR="00454F1A">
        <w:t xml:space="preserve">ationalisation instaurées par </w:t>
      </w:r>
      <w:r w:rsidR="00454F1A" w:rsidRPr="008D5101">
        <w:t>Lázaro Cá</w:t>
      </w:r>
      <w:r w:rsidR="008061FF" w:rsidRPr="008D5101">
        <w:t>rdenas</w:t>
      </w:r>
      <w:r w:rsidR="008061FF">
        <w:t xml:space="preserve"> </w:t>
      </w:r>
      <w:r w:rsidR="00171E8F" w:rsidRPr="005B0635">
        <w:t>à la fin d</w:t>
      </w:r>
      <w:r w:rsidR="008061FF" w:rsidRPr="005B0635">
        <w:t>es années</w:t>
      </w:r>
      <w:r w:rsidR="008061FF">
        <w:t xml:space="preserve"> 1930</w:t>
      </w:r>
      <w:r w:rsidR="00367A86">
        <w:t xml:space="preserve"> (Ackerman, 2014a</w:t>
      </w:r>
      <w:r w:rsidR="005B0635">
        <w:t xml:space="preserve"> et 2014d</w:t>
      </w:r>
      <w:r w:rsidR="00454F1A">
        <w:t>; Saxe-</w:t>
      </w:r>
      <w:r w:rsidR="00454F1A" w:rsidRPr="008D5101">
        <w:t>Ferná</w:t>
      </w:r>
      <w:r w:rsidR="005051B7" w:rsidRPr="008D5101">
        <w:t>ndez</w:t>
      </w:r>
      <w:r w:rsidR="005051B7">
        <w:t>, 2014</w:t>
      </w:r>
      <w:r w:rsidR="00367A86">
        <w:t>)</w:t>
      </w:r>
      <w:r w:rsidR="00A43D03">
        <w:t>.</w:t>
      </w:r>
      <w:r w:rsidR="008061FF">
        <w:t xml:space="preserve"> </w:t>
      </w:r>
    </w:p>
    <w:p w14:paraId="1EB35849" w14:textId="77777777" w:rsidR="00E60720" w:rsidRDefault="00E60720" w:rsidP="003F2FB4"/>
    <w:p w14:paraId="614EB2D9" w14:textId="77777777" w:rsidR="00E60720" w:rsidRDefault="00E60720" w:rsidP="003F2FB4">
      <w:r>
        <w:t xml:space="preserve">Si nous tenons compte de nos balises théoriques sur la co-construction démocratique, le cas mexicain </w:t>
      </w:r>
      <w:r w:rsidR="00437D71">
        <w:t>ressort comme étant</w:t>
      </w:r>
      <w:r>
        <w:t xml:space="preserve"> intéressant. </w:t>
      </w:r>
      <w:r w:rsidR="005F2943">
        <w:t xml:space="preserve">Les réformes </w:t>
      </w:r>
      <w:r w:rsidR="005F2943" w:rsidRPr="003942D0">
        <w:t>néolibérales dans le</w:t>
      </w:r>
      <w:r w:rsidR="005F2943">
        <w:t xml:space="preserve"> domaine des politiques de développement des ressources naturelles ont été rendues possibles d’une part parce qu’il n’y a pas eu de co-construction au sein de la société politique; au contraire, la branche exé</w:t>
      </w:r>
      <w:r w:rsidR="00F00D57">
        <w:t>cutive du gouvernement central (la P</w:t>
      </w:r>
      <w:r w:rsidR="005F2943">
        <w:t>résidence</w:t>
      </w:r>
      <w:r w:rsidR="00F00D57">
        <w:t>)</w:t>
      </w:r>
      <w:r w:rsidR="005F2943">
        <w:t xml:space="preserve"> a été capable d’instrumentaliser à la fois le législatif</w:t>
      </w:r>
      <w:r w:rsidR="00F00D57">
        <w:t xml:space="preserve"> (le sénat et l’assemblée des députés)</w:t>
      </w:r>
      <w:r w:rsidR="005F2943">
        <w:t xml:space="preserve">, les partis politiques </w:t>
      </w:r>
      <w:r w:rsidR="005F2943" w:rsidRPr="003942D0">
        <w:t>d’opposition</w:t>
      </w:r>
      <w:r w:rsidR="00306BED" w:rsidRPr="003942D0">
        <w:t xml:space="preserve"> et</w:t>
      </w:r>
      <w:r w:rsidR="005F2943" w:rsidRPr="003942D0">
        <w:t xml:space="preserve"> les</w:t>
      </w:r>
      <w:r w:rsidR="005F2943">
        <w:t xml:space="preserve"> entités politiques fédérales incluant les gouvernements des 32 États</w:t>
      </w:r>
      <w:r w:rsidR="00F00D57">
        <w:t xml:space="preserve"> territoriaux</w:t>
      </w:r>
      <w:r w:rsidR="005F2943">
        <w:t xml:space="preserve"> (peu autonomes dans le système politique fédéral mexicain)</w:t>
      </w:r>
      <w:r w:rsidR="00100838">
        <w:rPr>
          <w:rStyle w:val="Marquenotebasdepage"/>
        </w:rPr>
        <w:footnoteReference w:id="18"/>
      </w:r>
      <w:r w:rsidR="005F2943">
        <w:t xml:space="preserve">. D’autre </w:t>
      </w:r>
      <w:r w:rsidR="005F2943" w:rsidRPr="003942D0">
        <w:t>part, les mouvements</w:t>
      </w:r>
      <w:r w:rsidR="005F2943">
        <w:t xml:space="preserve"> et organisations de la société civiles ont é</w:t>
      </w:r>
      <w:r w:rsidR="00F00D57">
        <w:t>galement été instrumentalisés ou</w:t>
      </w:r>
      <w:r w:rsidR="005F2943">
        <w:t xml:space="preserve"> neutralisés. En somme, si les politiques néolibérales du </w:t>
      </w:r>
      <w:r w:rsidR="00306BED" w:rsidRPr="003942D0">
        <w:t>P</w:t>
      </w:r>
      <w:r w:rsidR="005F2943" w:rsidRPr="003942D0">
        <w:t>résident</w:t>
      </w:r>
      <w:r w:rsidR="005F2943">
        <w:t xml:space="preserve"> ont été co-construites, elles l’ont été</w:t>
      </w:r>
      <w:r w:rsidR="00F00D57">
        <w:t xml:space="preserve"> seulement</w:t>
      </w:r>
      <w:r w:rsidR="005F2943">
        <w:t xml:space="preserve"> avec </w:t>
      </w:r>
      <w:r w:rsidR="00D3618A">
        <w:t>l</w:t>
      </w:r>
      <w:r w:rsidR="005F2943">
        <w:t xml:space="preserve">es </w:t>
      </w:r>
      <w:r w:rsidR="00D3618A">
        <w:t xml:space="preserve">compagnies </w:t>
      </w:r>
      <w:r w:rsidR="005F2943">
        <w:t>transnationales étrangères</w:t>
      </w:r>
      <w:r w:rsidR="00D3618A">
        <w:t xml:space="preserve"> et nationales avantagées par la re-privatisation de l’économie pétrolière et gazière au Mexique. On est ici aux antipodes de la co-construction démocratique des politiques publiques.    </w:t>
      </w:r>
      <w:r w:rsidR="005F2943">
        <w:t xml:space="preserve">  </w:t>
      </w:r>
    </w:p>
    <w:p w14:paraId="23300FDE" w14:textId="77777777" w:rsidR="005B7BA1" w:rsidRDefault="005B7BA1" w:rsidP="003F2FB4"/>
    <w:p w14:paraId="05DD73BF" w14:textId="77777777" w:rsidR="000B65AB" w:rsidRDefault="009B1809" w:rsidP="003F2FB4">
      <w:r>
        <w:t xml:space="preserve">Dans les pays où </w:t>
      </w:r>
      <w:r w:rsidR="004B24A4">
        <w:t xml:space="preserve">dominent </w:t>
      </w:r>
      <w:r>
        <w:t>les orientations néolibérales comme c’est le cas au Mexique, en Colombie et au Pérou, même si la co-construction des politiques</w:t>
      </w:r>
      <w:r w:rsidR="004B24A4">
        <w:t xml:space="preserve"> publiques</w:t>
      </w:r>
      <w:r>
        <w:t xml:space="preserve"> est bloquée au plan national, </w:t>
      </w:r>
      <w:r w:rsidR="00827AE9">
        <w:t>il arrive qu’elle puisse</w:t>
      </w:r>
      <w:r w:rsidR="004B4CFF">
        <w:t xml:space="preserve"> demeurer possible dans des territoires locaux ou régionaux</w:t>
      </w:r>
      <w:r w:rsidR="00C200E9">
        <w:t xml:space="preserve">, ou encore dans certains </w:t>
      </w:r>
      <w:r w:rsidR="00C200E9" w:rsidRPr="003942D0">
        <w:t xml:space="preserve">secteurs </w:t>
      </w:r>
      <w:r w:rsidR="00306BED" w:rsidRPr="003942D0">
        <w:t>d’activités</w:t>
      </w:r>
      <w:r w:rsidR="004B4CFF" w:rsidRPr="003942D0">
        <w:t xml:space="preserve">. </w:t>
      </w:r>
      <w:r w:rsidR="00E76473" w:rsidRPr="003942D0">
        <w:t>Les choses ne semblent pas</w:t>
      </w:r>
      <w:r w:rsidR="00076F13" w:rsidRPr="003942D0">
        <w:t xml:space="preserve"> </w:t>
      </w:r>
      <w:r w:rsidR="00930FB3" w:rsidRPr="003942D0">
        <w:t>se passer</w:t>
      </w:r>
      <w:r w:rsidR="009B7B09" w:rsidRPr="003942D0">
        <w:t xml:space="preserve"> facilement</w:t>
      </w:r>
      <w:r w:rsidR="00930FB3" w:rsidRPr="003942D0">
        <w:t xml:space="preserve"> de cette manière au Mexique</w:t>
      </w:r>
      <w:r w:rsidR="00930FB3" w:rsidRPr="003942D0">
        <w:rPr>
          <w:rStyle w:val="Marquenotebasdepage"/>
        </w:rPr>
        <w:footnoteReference w:id="19"/>
      </w:r>
      <w:r w:rsidR="00E15B0C">
        <w:t>. L</w:t>
      </w:r>
      <w:r w:rsidR="00306BED" w:rsidRPr="003942D0">
        <w:t>a situation est autre en</w:t>
      </w:r>
      <w:r w:rsidR="004B4CFF" w:rsidRPr="003942D0">
        <w:t xml:space="preserve"> Colombie</w:t>
      </w:r>
      <w:r w:rsidR="004B4CFF">
        <w:t xml:space="preserve"> et au Pérou</w:t>
      </w:r>
      <w:r w:rsidR="008702F9">
        <w:t>, même si, dans ces deux pays, les politiques</w:t>
      </w:r>
      <w:r w:rsidR="00E35939">
        <w:t xml:space="preserve"> nationales</w:t>
      </w:r>
      <w:r w:rsidR="008702F9">
        <w:t xml:space="preserve"> de l’État central s’inscrivent nettement en cohérence avec le modèle néolibéral. Néanmoins, les possibilités de co-construction démocratique existent dans ces deux pays</w:t>
      </w:r>
      <w:r w:rsidR="00E35939">
        <w:t xml:space="preserve"> et cela</w:t>
      </w:r>
      <w:r w:rsidR="008702F9">
        <w:t xml:space="preserve"> pour deux raisons. D’une part, parce que, dans certains territoires locaux ou dans certains secteurs, on retrouve dans la société civile des acteurs sociaux et des </w:t>
      </w:r>
      <w:r w:rsidR="004B4CFF">
        <w:t>mouvements sociaux</w:t>
      </w:r>
      <w:r w:rsidR="008702F9">
        <w:t xml:space="preserve"> engagés dans des actions de </w:t>
      </w:r>
      <w:r w:rsidR="008702F9">
        <w:lastRenderedPageBreak/>
        <w:t>démocratisation</w:t>
      </w:r>
      <w:r w:rsidR="004B4CFF">
        <w:t xml:space="preserve"> </w:t>
      </w:r>
      <w:r w:rsidR="008702F9">
        <w:t>de l’économie et de la société</w:t>
      </w:r>
      <w:r w:rsidR="000B65AB">
        <w:rPr>
          <w:rStyle w:val="Marquenotebasdepage"/>
        </w:rPr>
        <w:footnoteReference w:id="20"/>
      </w:r>
      <w:r w:rsidR="008702F9">
        <w:t>. D’autre part</w:t>
      </w:r>
      <w:r w:rsidR="000B65AB">
        <w:t xml:space="preserve">, parce que ces acteurs sociaux peuvent faire des </w:t>
      </w:r>
      <w:r w:rsidR="00E76473">
        <w:t xml:space="preserve">alliances </w:t>
      </w:r>
      <w:r w:rsidR="00E76473" w:rsidRPr="00E15B0C">
        <w:t>avec des élus</w:t>
      </w:r>
      <w:r w:rsidR="000B65AB">
        <w:t xml:space="preserve"> pour définir et promouvoir des politiques avantageuses pour l’amélioration de la qualité de vie de la population locale. La rencontre de ces deux conditions fonde la possibilité de développer des politiques publiques co-construites démocratiquement, du moins dans certaines communautés locales ou dans certains domaines de vie collective. C’est</w:t>
      </w:r>
      <w:r w:rsidR="004B4CFF">
        <w:t xml:space="preserve"> ce qui </w:t>
      </w:r>
      <w:r w:rsidR="000B65AB">
        <w:t xml:space="preserve">a </w:t>
      </w:r>
      <w:r w:rsidR="004B4CFF">
        <w:t>rend</w:t>
      </w:r>
      <w:r w:rsidR="000B65AB">
        <w:t>u</w:t>
      </w:r>
      <w:r w:rsidR="004B4CFF">
        <w:t xml:space="preserve"> possible des expériences</w:t>
      </w:r>
      <w:r w:rsidR="00E35939">
        <w:t xml:space="preserve"> novatrices</w:t>
      </w:r>
      <w:r w:rsidR="004B4CFF">
        <w:t xml:space="preserve"> de </w:t>
      </w:r>
      <w:r w:rsidR="00C200E9">
        <w:t>démocratie</w:t>
      </w:r>
      <w:r w:rsidR="004B4CFF">
        <w:t xml:space="preserve"> locale </w:t>
      </w:r>
      <w:r w:rsidR="00506EB2">
        <w:t>comme</w:t>
      </w:r>
      <w:r w:rsidR="007C657A">
        <w:t xml:space="preserve"> celle</w:t>
      </w:r>
      <w:r w:rsidR="004B4CFF">
        <w:t xml:space="preserve"> </w:t>
      </w:r>
      <w:r w:rsidR="007C657A">
        <w:t>de</w:t>
      </w:r>
      <w:r w:rsidR="004B4CFF">
        <w:t xml:space="preserve"> Villa el Salvador </w:t>
      </w:r>
      <w:r w:rsidR="009E4144">
        <w:t>au Pérou (Panfichi et Dammert</w:t>
      </w:r>
      <w:r w:rsidR="007C657A">
        <w:t xml:space="preserve">, 2006). On peut penser aussi à des expériences de gouvernance municipale </w:t>
      </w:r>
      <w:r w:rsidR="000B65AB">
        <w:t>originale</w:t>
      </w:r>
      <w:r w:rsidR="007C657A">
        <w:t xml:space="preserve"> comme celle de</w:t>
      </w:r>
      <w:r w:rsidR="004B4CFF">
        <w:t xml:space="preserve"> la mairie de Bogota en Colombie </w:t>
      </w:r>
      <w:r w:rsidR="007C657A">
        <w:t>avec</w:t>
      </w:r>
      <w:r w:rsidR="002059E3">
        <w:t xml:space="preserve"> </w:t>
      </w:r>
      <w:r w:rsidR="007C657A">
        <w:t xml:space="preserve">Gustavo Petro, un maire progressiste au passé de guérillero </w:t>
      </w:r>
      <w:r w:rsidR="002059E3">
        <w:t>q</w:t>
      </w:r>
      <w:r w:rsidR="00390B12">
        <w:t xml:space="preserve">ui dérange beaucoup les </w:t>
      </w:r>
      <w:r w:rsidR="00CD19D6">
        <w:t>oligarchies</w:t>
      </w:r>
      <w:r w:rsidR="002059E3">
        <w:t xml:space="preserve"> locale</w:t>
      </w:r>
      <w:r w:rsidR="00390B12">
        <w:t>s</w:t>
      </w:r>
      <w:r w:rsidR="002059E3">
        <w:t xml:space="preserve"> et nationale</w:t>
      </w:r>
      <w:r w:rsidR="00390B12">
        <w:t>s</w:t>
      </w:r>
      <w:r w:rsidR="002059E3">
        <w:t xml:space="preserve"> avec ses politiques de démocratisation des services collectifs municipaux</w:t>
      </w:r>
      <w:r w:rsidR="0080314E">
        <w:t xml:space="preserve"> (Wallace, 2014</w:t>
      </w:r>
      <w:r w:rsidR="005C2FE3">
        <w:t>; Lipietz, 2011</w:t>
      </w:r>
      <w:r w:rsidR="0080314E">
        <w:t>)</w:t>
      </w:r>
      <w:r w:rsidR="005B7BA1">
        <w:t>.</w:t>
      </w:r>
      <w:r w:rsidR="00506EB2">
        <w:t xml:space="preserve"> </w:t>
      </w:r>
      <w:r w:rsidR="00912C63">
        <w:t xml:space="preserve">Toujours en Colombie, il faut mentionner aussi le cas de la Ville de Medellin devenue célèbre pour ses politiques urbaines et environnementales novatrices des deux dernières décennies et son « Accord » adopté en 2001  pour conférer une place importante à l’ESS dans son plan de développement (Carle </w:t>
      </w:r>
      <w:r w:rsidR="00454F1A">
        <w:t xml:space="preserve">Marsan et Champagne, 2014; </w:t>
      </w:r>
      <w:r w:rsidR="00454F1A" w:rsidRPr="00C61615">
        <w:t>Martí</w:t>
      </w:r>
      <w:r w:rsidR="00912C63" w:rsidRPr="00C61615">
        <w:t>nez C.,</w:t>
      </w:r>
      <w:r w:rsidR="00912C63">
        <w:t xml:space="preserve"> 2011). </w:t>
      </w:r>
    </w:p>
    <w:p w14:paraId="1BAE0D6D" w14:textId="77777777" w:rsidR="000B65AB" w:rsidRDefault="000B65AB" w:rsidP="003F2FB4"/>
    <w:p w14:paraId="7F45DA6C" w14:textId="77777777" w:rsidR="00E779D1" w:rsidRDefault="00506EB2" w:rsidP="003F2FB4">
      <w:r>
        <w:t>Dans un contexte</w:t>
      </w:r>
      <w:r w:rsidR="000B65AB">
        <w:t xml:space="preserve"> à la fois semblable et différent</w:t>
      </w:r>
      <w:r>
        <w:t>, l</w:t>
      </w:r>
      <w:r w:rsidR="00E779D1">
        <w:t>’expérience</w:t>
      </w:r>
      <w:r>
        <w:t xml:space="preserve"> brésilienne</w:t>
      </w:r>
      <w:r w:rsidR="00E779D1">
        <w:t xml:space="preserve"> des budgets municipaux </w:t>
      </w:r>
      <w:r>
        <w:t>participatifs</w:t>
      </w:r>
      <w:r w:rsidR="00E779D1">
        <w:t xml:space="preserve"> mérite</w:t>
      </w:r>
      <w:r>
        <w:t xml:space="preserve"> aussi</w:t>
      </w:r>
      <w:r w:rsidR="00E779D1">
        <w:t xml:space="preserve"> d’être </w:t>
      </w:r>
      <w:r w:rsidR="000B65AB">
        <w:t>exami</w:t>
      </w:r>
      <w:r w:rsidR="00E779D1">
        <w:t xml:space="preserve">née. </w:t>
      </w:r>
      <w:r w:rsidR="003D516B">
        <w:t>Nous parlons d’un contexte semblable et différent pour suggérer que le courant néolibéral</w:t>
      </w:r>
      <w:r w:rsidR="00E83EA2">
        <w:t>, certes,</w:t>
      </w:r>
      <w:r w:rsidR="003D516B">
        <w:t xml:space="preserve"> influence fortement certaines politiques macroéconomiques du gouvernement central et national au Brésil, </w:t>
      </w:r>
      <w:r w:rsidR="00CC67F2">
        <w:t xml:space="preserve">mais </w:t>
      </w:r>
      <w:r w:rsidR="003D516B">
        <w:t>sans pour autant contrôler aussi fortement l’ensemble des politiques publiques</w:t>
      </w:r>
      <w:r w:rsidR="00390B12">
        <w:t xml:space="preserve"> </w:t>
      </w:r>
      <w:r w:rsidR="00390B12">
        <w:rPr>
          <w:rFonts w:ascii="Cambria" w:hAnsi="Cambria"/>
          <w:sz w:val="20"/>
          <w:szCs w:val="20"/>
          <w:lang w:val="fr-FR"/>
        </w:rPr>
        <w:t>—</w:t>
      </w:r>
      <w:r w:rsidR="00390B12" w:rsidRPr="00390B12">
        <w:t>dont certaines politiques sociales</w:t>
      </w:r>
      <w:r w:rsidR="00390B12">
        <w:t xml:space="preserve"> telle la </w:t>
      </w:r>
      <w:r w:rsidR="00390B12">
        <w:rPr>
          <w:i/>
        </w:rPr>
        <w:t>Bolsa Familia</w:t>
      </w:r>
      <w:r w:rsidR="00390B12">
        <w:rPr>
          <w:rFonts w:ascii="Cambria" w:hAnsi="Cambria"/>
          <w:sz w:val="20"/>
          <w:szCs w:val="20"/>
          <w:lang w:val="fr-FR"/>
        </w:rPr>
        <w:t>—</w:t>
      </w:r>
      <w:r w:rsidR="003D516B">
        <w:t xml:space="preserve"> comme c’est le cas au Mexique, en Colombie et au Pérou. </w:t>
      </w:r>
    </w:p>
    <w:p w14:paraId="35D95A8B" w14:textId="77777777" w:rsidR="00E779D1" w:rsidRPr="00984241" w:rsidRDefault="002F4CB6" w:rsidP="00984241">
      <w:pPr>
        <w:pStyle w:val="Titre2"/>
        <w:spacing w:before="360"/>
        <w:rPr>
          <w:color w:val="auto"/>
          <w:sz w:val="28"/>
          <w:szCs w:val="28"/>
        </w:rPr>
      </w:pPr>
      <w:bookmarkStart w:id="14" w:name="_Toc405129030"/>
      <w:r w:rsidRPr="00984241">
        <w:rPr>
          <w:color w:val="auto"/>
          <w:sz w:val="28"/>
          <w:szCs w:val="28"/>
        </w:rPr>
        <w:t xml:space="preserve">4.2 </w:t>
      </w:r>
      <w:r w:rsidR="00677100" w:rsidRPr="00984241">
        <w:rPr>
          <w:color w:val="auto"/>
          <w:sz w:val="28"/>
          <w:szCs w:val="28"/>
        </w:rPr>
        <w:t>C</w:t>
      </w:r>
      <w:r w:rsidR="00C93500" w:rsidRPr="00984241">
        <w:rPr>
          <w:color w:val="auto"/>
          <w:sz w:val="28"/>
          <w:szCs w:val="28"/>
        </w:rPr>
        <w:t xml:space="preserve">o-construction </w:t>
      </w:r>
      <w:r w:rsidR="00677100" w:rsidRPr="00984241">
        <w:rPr>
          <w:color w:val="auto"/>
          <w:sz w:val="28"/>
          <w:szCs w:val="28"/>
        </w:rPr>
        <w:t>et</w:t>
      </w:r>
      <w:r w:rsidR="00E779D1" w:rsidRPr="00984241">
        <w:rPr>
          <w:color w:val="auto"/>
          <w:sz w:val="28"/>
          <w:szCs w:val="28"/>
        </w:rPr>
        <w:t xml:space="preserve"> budgets</w:t>
      </w:r>
      <w:r w:rsidR="00986592" w:rsidRPr="00984241">
        <w:rPr>
          <w:color w:val="auto"/>
          <w:sz w:val="28"/>
          <w:szCs w:val="28"/>
        </w:rPr>
        <w:t xml:space="preserve"> municipaux</w:t>
      </w:r>
      <w:r w:rsidR="00E779D1" w:rsidRPr="00984241">
        <w:rPr>
          <w:color w:val="auto"/>
          <w:sz w:val="28"/>
          <w:szCs w:val="28"/>
        </w:rPr>
        <w:t xml:space="preserve"> participatifs au Brésil</w:t>
      </w:r>
      <w:bookmarkEnd w:id="14"/>
    </w:p>
    <w:p w14:paraId="6E736354" w14:textId="77777777" w:rsidR="00E779D1" w:rsidRDefault="00E779D1" w:rsidP="00E779D1">
      <w:r>
        <w:t>L’expérience des budgets participatifs au Brésil témoigne du fait que la co-construction démocratique des politiques est pos</w:t>
      </w:r>
      <w:r w:rsidR="00986592">
        <w:t>sible dans certains territoires.</w:t>
      </w:r>
      <w:r>
        <w:t xml:space="preserve"> Sans </w:t>
      </w:r>
      <w:r w:rsidR="00D7382A">
        <w:t>avoir à trancher ici</w:t>
      </w:r>
      <w:r w:rsidR="00063505">
        <w:t xml:space="preserve"> la question de savoir</w:t>
      </w:r>
      <w:r w:rsidR="00D7382A">
        <w:t xml:space="preserve"> </w:t>
      </w:r>
      <w:r>
        <w:t xml:space="preserve">si les gouvernements de </w:t>
      </w:r>
      <w:r w:rsidRPr="00C87B73">
        <w:t>Luiz Inácio Lula da Silva</w:t>
      </w:r>
      <w:r>
        <w:t xml:space="preserve"> de 2003 à 2010 et de Dilma Rousseff de 2011 à 2014 ont été des gouvernements de gauche</w:t>
      </w:r>
      <w:r>
        <w:rPr>
          <w:rStyle w:val="Marquenotebasdepage"/>
        </w:rPr>
        <w:footnoteReference w:id="21"/>
      </w:r>
      <w:r>
        <w:t xml:space="preserve">, on peut quand même </w:t>
      </w:r>
      <w:r w:rsidR="0056692C">
        <w:t>reconnaitre</w:t>
      </w:r>
      <w:r>
        <w:t xml:space="preserve"> que l’expérience des budgets participatifs dans certaines municipalités du Brésil constitue un exemple concret de co-construction</w:t>
      </w:r>
      <w:r w:rsidR="00063505">
        <w:t xml:space="preserve"> démocratique qui, dans certains cas, </w:t>
      </w:r>
      <w:r>
        <w:t xml:space="preserve">fait de la place à la participation de l’ESS.  Pour faire </w:t>
      </w:r>
      <w:r w:rsidR="00D7382A">
        <w:t xml:space="preserve">écho à cette expérience, </w:t>
      </w:r>
      <w:r w:rsidR="00406B79">
        <w:t>nous nous appuyons principalement</w:t>
      </w:r>
      <w:r w:rsidR="00D7382A">
        <w:t xml:space="preserve"> sur</w:t>
      </w:r>
      <w:r>
        <w:t xml:space="preserve"> </w:t>
      </w:r>
      <w:r w:rsidR="00480D50">
        <w:t>des études de cas</w:t>
      </w:r>
      <w:r>
        <w:t xml:space="preserve"> </w:t>
      </w:r>
      <w:r w:rsidR="00635EA0">
        <w:t xml:space="preserve">portant </w:t>
      </w:r>
      <w:r w:rsidR="00480D50">
        <w:t>sur d</w:t>
      </w:r>
      <w:r>
        <w:t>es</w:t>
      </w:r>
      <w:r w:rsidR="00635EA0">
        <w:t xml:space="preserve"> ex</w:t>
      </w:r>
      <w:r w:rsidR="00480D50">
        <w:t>périences de</w:t>
      </w:r>
      <w:r>
        <w:t xml:space="preserve"> budgets participatifs (BP) </w:t>
      </w:r>
      <w:r w:rsidR="00635EA0">
        <w:t>menées au cours des années 1990 et 2000</w:t>
      </w:r>
      <w:r w:rsidR="00480D50">
        <w:t xml:space="preserve"> dans diverses villes brésiliennes</w:t>
      </w:r>
      <w:r>
        <w:t xml:space="preserve">. </w:t>
      </w:r>
      <w:r w:rsidR="00635EA0">
        <w:t>Nous faisons référence</w:t>
      </w:r>
      <w:r w:rsidR="00480D50">
        <w:t xml:space="preserve"> notamment</w:t>
      </w:r>
      <w:r w:rsidR="00635EA0">
        <w:t xml:space="preserve"> : a) aux travaux </w:t>
      </w:r>
      <w:r>
        <w:t>de Leonardo Avritzer (2002</w:t>
      </w:r>
      <w:r w:rsidR="00635EA0">
        <w:t>, 2006), portant</w:t>
      </w:r>
      <w:r>
        <w:t xml:space="preserve"> sur l’expérience des BP dans l</w:t>
      </w:r>
      <w:r w:rsidR="00ED31DE">
        <w:t xml:space="preserve">es villes de Porto Alegre, </w:t>
      </w:r>
      <w:r>
        <w:t>Belo Horizonte</w:t>
      </w:r>
      <w:r w:rsidR="00ED31DE">
        <w:t xml:space="preserve"> et Sao Paolo</w:t>
      </w:r>
      <w:r w:rsidR="00635EA0">
        <w:t>; b) aux recherches</w:t>
      </w:r>
      <w:r>
        <w:t xml:space="preserve"> de Chavez Teixe</w:t>
      </w:r>
      <w:r w:rsidR="00480D50">
        <w:t xml:space="preserve">ira et Albuquerque (2006) </w:t>
      </w:r>
      <w:r>
        <w:t>sur le</w:t>
      </w:r>
      <w:r w:rsidR="00635EA0">
        <w:t>s</w:t>
      </w:r>
      <w:r>
        <w:t xml:space="preserve"> BP dans quatre municipalités</w:t>
      </w:r>
      <w:r w:rsidR="007C05EC">
        <w:t xml:space="preserve"> de l’État de Sao Paulo (Santo André, Piracicaba, Rio Claro et Vinhedo)</w:t>
      </w:r>
      <w:r w:rsidR="00635EA0">
        <w:t xml:space="preserve">; </w:t>
      </w:r>
      <w:r w:rsidR="00635EA0">
        <w:lastRenderedPageBreak/>
        <w:t>c) aux recherches de</w:t>
      </w:r>
      <w:r w:rsidR="0056692C">
        <w:t xml:space="preserve"> Paul Cary (2005), </w:t>
      </w:r>
      <w:r w:rsidR="00635EA0">
        <w:t xml:space="preserve">sur </w:t>
      </w:r>
      <w:r w:rsidR="0056692C">
        <w:t>la pratique du BP à Recife</w:t>
      </w:r>
      <w:r w:rsidR="000117B9">
        <w:t xml:space="preserve"> </w:t>
      </w:r>
      <w:r w:rsidR="000117B9">
        <w:rPr>
          <w:rFonts w:ascii="Cambria" w:hAnsi="Cambria"/>
        </w:rPr>
        <w:t>—comparée souvent à celle de Porto Alegre—</w:t>
      </w:r>
      <w:r w:rsidR="0056692C">
        <w:t xml:space="preserve"> </w:t>
      </w:r>
      <w:r w:rsidR="00635EA0">
        <w:t>au cours des années 2000 à 2004; d) enfin</w:t>
      </w:r>
      <w:r w:rsidR="00712458">
        <w:t>,</w:t>
      </w:r>
      <w:r w:rsidR="00635EA0">
        <w:t xml:space="preserve"> au</w:t>
      </w:r>
      <w:r w:rsidR="00750E14">
        <w:t>x recherches d’Ana Mercedes Sarr</w:t>
      </w:r>
      <w:r w:rsidR="00635EA0">
        <w:t xml:space="preserve">ia Icaza (2002, 2005 et 2013) </w:t>
      </w:r>
      <w:r w:rsidR="00724B1F">
        <w:t>qui s’intéresse aux</w:t>
      </w:r>
      <w:r w:rsidR="00635EA0">
        <w:t xml:space="preserve"> pratiques d’ESS</w:t>
      </w:r>
      <w:r w:rsidR="00480D50">
        <w:t xml:space="preserve"> et </w:t>
      </w:r>
      <w:r w:rsidR="000117B9">
        <w:t xml:space="preserve">aux politiques publiques les concernant </w:t>
      </w:r>
      <w:r w:rsidR="000117B9">
        <w:rPr>
          <w:rFonts w:ascii="Cambria" w:hAnsi="Cambria"/>
        </w:rPr>
        <w:t>—</w:t>
      </w:r>
      <w:r w:rsidR="000117B9">
        <w:t>incluant les politiques de BP</w:t>
      </w:r>
      <w:r w:rsidR="000117B9">
        <w:rPr>
          <w:rFonts w:ascii="Cambria" w:hAnsi="Cambria"/>
        </w:rPr>
        <w:t>—</w:t>
      </w:r>
      <w:r w:rsidR="00635EA0">
        <w:t xml:space="preserve"> dans l’État de Rio Grande Do Sul</w:t>
      </w:r>
      <w:r w:rsidR="00712458">
        <w:t xml:space="preserve"> et ses municipalités, dont celle de Porto Alegre</w:t>
      </w:r>
      <w:r w:rsidR="000117B9">
        <w:t>, la capitale de cet État</w:t>
      </w:r>
      <w:r w:rsidR="00712458">
        <w:t xml:space="preserve">. </w:t>
      </w:r>
      <w:r w:rsidR="00AA79BD">
        <w:t>À partir de ces études, nous posons deux questions : D’abord, comment synthétiser les résultats de ces études de cas? Ensuite, qu’est-ce que ces recherches nous apprennent au sujet de la participation de l’ESS dans les BP?</w:t>
      </w:r>
    </w:p>
    <w:p w14:paraId="5BB68FBD" w14:textId="77777777" w:rsidR="00E779D1" w:rsidRDefault="00E779D1" w:rsidP="00E779D1"/>
    <w:p w14:paraId="05B53A2D" w14:textId="77777777" w:rsidR="00AA79BD" w:rsidRPr="00AA79BD" w:rsidRDefault="00AA79BD" w:rsidP="00E779D1">
      <w:pPr>
        <w:rPr>
          <w:u w:val="single"/>
        </w:rPr>
      </w:pPr>
      <w:r>
        <w:t xml:space="preserve">1) </w:t>
      </w:r>
      <w:r>
        <w:rPr>
          <w:u w:val="single"/>
        </w:rPr>
        <w:t xml:space="preserve">Synthèse des résultats des études de cas </w:t>
      </w:r>
      <w:r w:rsidR="00FB4AE9">
        <w:rPr>
          <w:u w:val="single"/>
        </w:rPr>
        <w:t>concernant les BP brésiliens</w:t>
      </w:r>
    </w:p>
    <w:p w14:paraId="14859523" w14:textId="77777777" w:rsidR="00E779D1" w:rsidRDefault="00E779D1" w:rsidP="00E779D1">
      <w:r>
        <w:t>Ces études de cas permettent de faire</w:t>
      </w:r>
      <w:r w:rsidR="005D217B">
        <w:t xml:space="preserve"> </w:t>
      </w:r>
      <w:r>
        <w:t>les constats suivants :</w:t>
      </w:r>
    </w:p>
    <w:p w14:paraId="63B70973" w14:textId="77777777" w:rsidR="00E779D1" w:rsidRDefault="00E779D1" w:rsidP="00E779D1">
      <w:pPr>
        <w:pStyle w:val="Paragraphedeliste"/>
        <w:numPr>
          <w:ilvl w:val="0"/>
          <w:numId w:val="32"/>
        </w:numPr>
      </w:pPr>
      <w:r>
        <w:t xml:space="preserve">Les expériences de BP étaient encouragées par la Constitution décentralisatrice de 1988. « La lutte pour la démocratisation au Brésil s’est développée par dessus tout au niveau local… » (Avritzer, 2002 :120). </w:t>
      </w:r>
    </w:p>
    <w:p w14:paraId="7FF26148" w14:textId="77777777" w:rsidR="00E779D1" w:rsidRDefault="00E779D1" w:rsidP="00E779D1">
      <w:pPr>
        <w:pStyle w:val="Paragraphedeliste"/>
        <w:numPr>
          <w:ilvl w:val="0"/>
          <w:numId w:val="32"/>
        </w:numPr>
      </w:pPr>
      <w:r>
        <w:t>La Ville de Porto Alegre où une coalition dominée par le Parti des travailleur</w:t>
      </w:r>
      <w:r w:rsidR="00027CF6">
        <w:t xml:space="preserve">s (PT) arrive au pouvoir en 1988 </w:t>
      </w:r>
      <w:r w:rsidR="00027CF6" w:rsidRPr="00E15B0C">
        <w:t>et y demeur</w:t>
      </w:r>
      <w:r w:rsidR="00306BED" w:rsidRPr="00E15B0C">
        <w:t>e</w:t>
      </w:r>
      <w:r w:rsidR="00027CF6" w:rsidRPr="00E15B0C">
        <w:t xml:space="preserve"> pendant</w:t>
      </w:r>
      <w:r w:rsidR="00027CF6">
        <w:t xml:space="preserve"> une quinzaine d’années d’affilée</w:t>
      </w:r>
      <w:r>
        <w:t xml:space="preserve">, a joué un rôle d’incubateur pour les </w:t>
      </w:r>
      <w:r w:rsidR="00D7382A">
        <w:t>PB</w:t>
      </w:r>
      <w:r w:rsidR="00027CF6">
        <w:t xml:space="preserve"> (Blondiaux, 2008 :51</w:t>
      </w:r>
      <w:r w:rsidR="00B75790">
        <w:t>; Avritzer, 2006 :418</w:t>
      </w:r>
      <w:r w:rsidR="00027CF6">
        <w:t>)</w:t>
      </w:r>
      <w:r>
        <w:t xml:space="preserve">. </w:t>
      </w:r>
    </w:p>
    <w:p w14:paraId="108B0590" w14:textId="77777777" w:rsidR="00E779D1" w:rsidRDefault="00E779D1" w:rsidP="00E779D1">
      <w:pPr>
        <w:pStyle w:val="Paragraphedeliste"/>
        <w:numPr>
          <w:ilvl w:val="0"/>
          <w:numId w:val="32"/>
        </w:numPr>
      </w:pPr>
      <w:r>
        <w:t xml:space="preserve">De 1997 à 2000, </w:t>
      </w:r>
      <w:r w:rsidR="00C702D1" w:rsidRPr="00E15B0C">
        <w:t xml:space="preserve">on dénombre </w:t>
      </w:r>
      <w:r w:rsidRPr="00E15B0C">
        <w:t xml:space="preserve">une centaine d’expériences de </w:t>
      </w:r>
      <w:r w:rsidR="00D7382A" w:rsidRPr="00E15B0C">
        <w:t>PB</w:t>
      </w:r>
      <w:r>
        <w:t xml:space="preserve">. </w:t>
      </w:r>
      <w:r w:rsidR="00075B93">
        <w:t>Entre 2001 et 2004, on en comptait</w:t>
      </w:r>
      <w:r>
        <w:t xml:space="preserve"> 170. </w:t>
      </w:r>
    </w:p>
    <w:p w14:paraId="40612946" w14:textId="77777777" w:rsidR="00E779D1" w:rsidRDefault="00E779D1" w:rsidP="00E779D1">
      <w:pPr>
        <w:pStyle w:val="Paragraphedeliste"/>
        <w:numPr>
          <w:ilvl w:val="0"/>
          <w:numId w:val="32"/>
        </w:numPr>
      </w:pPr>
      <w:r>
        <w:t>Les expériences de BP connaissent des variations d’une municipalité à l’autre, notamment concernant le degré de démocratisation atteint</w:t>
      </w:r>
      <w:r w:rsidR="00506EB2">
        <w:t xml:space="preserve"> dans la société politique et dans</w:t>
      </w:r>
      <w:r>
        <w:t xml:space="preserve"> la société civile. </w:t>
      </w:r>
    </w:p>
    <w:p w14:paraId="6A79329A" w14:textId="77777777" w:rsidR="00E779D1" w:rsidRDefault="00E779D1" w:rsidP="00E779D1">
      <w:pPr>
        <w:pStyle w:val="Paragraphedeliste"/>
        <w:numPr>
          <w:ilvl w:val="0"/>
          <w:numId w:val="32"/>
        </w:numPr>
      </w:pPr>
      <w:r>
        <w:t>Malgré ces différences, les expériences de BP suivent souvent</w:t>
      </w:r>
      <w:r w:rsidR="00075B93">
        <w:t>, d’une ville à l’autre,</w:t>
      </w:r>
      <w:r>
        <w:t xml:space="preserve"> un cycle de six étapes</w:t>
      </w:r>
      <w:r w:rsidR="00434876">
        <w:t xml:space="preserve"> : a) la construction de la méthodologie et des règles du jeu du BP; b) </w:t>
      </w:r>
      <w:r w:rsidR="00C702D1" w:rsidRPr="00E15B0C">
        <w:t xml:space="preserve">la </w:t>
      </w:r>
      <w:r w:rsidR="00434876" w:rsidRPr="00E15B0C">
        <w:t>diffusion</w:t>
      </w:r>
      <w:r w:rsidR="00434876">
        <w:t xml:space="preserve"> des règles du jeu et mobilisation des participants; c) </w:t>
      </w:r>
      <w:r w:rsidR="00C702D1" w:rsidRPr="00E15B0C">
        <w:t xml:space="preserve">la </w:t>
      </w:r>
      <w:r w:rsidR="00434876" w:rsidRPr="00E15B0C">
        <w:t>réalisation</w:t>
      </w:r>
      <w:r w:rsidR="00434876">
        <w:t xml:space="preserve"> des réunions avec la population; d) </w:t>
      </w:r>
      <w:r w:rsidR="00C702D1" w:rsidRPr="00E15B0C">
        <w:t xml:space="preserve">la </w:t>
      </w:r>
      <w:r w:rsidR="00DF2FA8" w:rsidRPr="00E15B0C">
        <w:t>négociation</w:t>
      </w:r>
      <w:r w:rsidR="00F71E53">
        <w:t xml:space="preserve"> des priorités entre les participants au BP et les élus municipaux; e) </w:t>
      </w:r>
      <w:r w:rsidR="00C702D1" w:rsidRPr="00E15B0C">
        <w:t>l’</w:t>
      </w:r>
      <w:r w:rsidR="00F71E53" w:rsidRPr="00E15B0C">
        <w:t>envoi</w:t>
      </w:r>
      <w:r w:rsidR="00F71E53">
        <w:t xml:space="preserve"> de la proposition de budget au conseil municipal pour approbation; f) </w:t>
      </w:r>
      <w:r w:rsidR="00C702D1" w:rsidRPr="00E15B0C">
        <w:t xml:space="preserve">la </w:t>
      </w:r>
      <w:r w:rsidR="00F71E53" w:rsidRPr="00E15B0C">
        <w:t>mise en</w:t>
      </w:r>
      <w:r w:rsidR="00F71E53">
        <w:t xml:space="preserve"> application du budget par le gouvernement municipal avec suivi effectué par la population</w:t>
      </w:r>
      <w:r w:rsidR="00434876">
        <w:t xml:space="preserve"> </w:t>
      </w:r>
      <w:r w:rsidR="001E4464">
        <w:t>(</w:t>
      </w:r>
      <w:r w:rsidR="001E4464" w:rsidRPr="00C61615">
        <w:t>Chaves Teixeira et Albuquerque,</w:t>
      </w:r>
      <w:r w:rsidR="001E4464">
        <w:t xml:space="preserve"> 2006</w:t>
      </w:r>
      <w:r>
        <w:t xml:space="preserve"> :199-200). </w:t>
      </w:r>
    </w:p>
    <w:p w14:paraId="4697256C" w14:textId="77777777" w:rsidR="00E779D1" w:rsidRDefault="00E779D1" w:rsidP="00E779D1">
      <w:pPr>
        <w:pStyle w:val="Paragraphedeliste"/>
        <w:numPr>
          <w:ilvl w:val="0"/>
          <w:numId w:val="32"/>
        </w:numPr>
      </w:pPr>
      <w:r>
        <w:t>Dans certaines villes, les expériences de BP demeurent uniquement consultatives. Dans d’aut</w:t>
      </w:r>
      <w:r w:rsidR="00D7382A">
        <w:t xml:space="preserve">res, elles sont </w:t>
      </w:r>
      <w:r w:rsidR="00C702D1">
        <w:t>décisionnelles</w:t>
      </w:r>
      <w:r w:rsidR="00D7382A">
        <w:t xml:space="preserve"> et, du coup, </w:t>
      </w:r>
      <w:r>
        <w:t xml:space="preserve">s’inscrivent dans une perspective de co-construction. Mais là où </w:t>
      </w:r>
      <w:r w:rsidR="00D7382A">
        <w:t>il y a co-construction</w:t>
      </w:r>
      <w:r>
        <w:t xml:space="preserve">, </w:t>
      </w:r>
      <w:r w:rsidR="00724B1F">
        <w:t xml:space="preserve">cette dernière se déploie à faible intensité puisque </w:t>
      </w:r>
      <w:r w:rsidR="00D7382A">
        <w:t>l</w:t>
      </w:r>
      <w:r>
        <w:t>es décisions ne concernent qu’une partie du budget</w:t>
      </w:r>
      <w:r w:rsidR="00614857">
        <w:t xml:space="preserve"> et non </w:t>
      </w:r>
      <w:r>
        <w:t xml:space="preserve">pas sa totalité. </w:t>
      </w:r>
      <w:r w:rsidR="00B75790">
        <w:t>Dans les grandes villes, le pourcentage de la population qui participe aux PB est de l’ordre de 1 à 1.5% seulement, d’après Avritzer (2006 :425). En outre, l</w:t>
      </w:r>
      <w:r>
        <w:t xml:space="preserve">a participation des acteurs de la société civile </w:t>
      </w:r>
      <w:r w:rsidR="00D7382A">
        <w:t>touche</w:t>
      </w:r>
      <w:r>
        <w:t xml:space="preserve"> une partie des investissements</w:t>
      </w:r>
      <w:r w:rsidR="00D7382A">
        <w:t xml:space="preserve">, mais pas </w:t>
      </w:r>
      <w:r>
        <w:t xml:space="preserve">l’administration des programmes, ni les impôts, les dettes, le financement et les priorités de la municipalité. Chavez Teixeira et Albuquerque </w:t>
      </w:r>
      <w:r w:rsidR="00354A88">
        <w:t>constatent</w:t>
      </w:r>
      <w:r>
        <w:t xml:space="preserve"> que, dans les q</w:t>
      </w:r>
      <w:r w:rsidR="00354A88">
        <w:t>uatre municipalités</w:t>
      </w:r>
      <w:r>
        <w:t xml:space="preserve"> étudiées</w:t>
      </w:r>
      <w:r w:rsidR="007C05EC">
        <w:t xml:space="preserve"> dans l’État de Sao Paulo</w:t>
      </w:r>
      <w:r>
        <w:t xml:space="preserve">, les citoyens qui participent ont un contrôle réel sur moins de 15% des ressources (2006 :232-235). </w:t>
      </w:r>
      <w:r w:rsidR="00354A88">
        <w:t>Néanmoins, elles remarquent</w:t>
      </w:r>
      <w:r>
        <w:t xml:space="preserve"> que « plusieurs budgets participatifs commencent c</w:t>
      </w:r>
      <w:r w:rsidR="00354A88">
        <w:t xml:space="preserve">omme des expériences timides </w:t>
      </w:r>
      <w:r>
        <w:t>»</w:t>
      </w:r>
      <w:r w:rsidR="00354A88">
        <w:t xml:space="preserve"> et consultatives, mais </w:t>
      </w:r>
      <w:r w:rsidR="00614857">
        <w:t>permettent,</w:t>
      </w:r>
      <w:r w:rsidR="00354A88">
        <w:t xml:space="preserve"> en cours de route, </w:t>
      </w:r>
      <w:r>
        <w:t xml:space="preserve">à la participation citoyenne de passer du consultatif au décisionnel (ibid. :237), </w:t>
      </w:r>
      <w:r w:rsidR="00614857">
        <w:t>ce qui ouvre la voie à une certaine co-construction d</w:t>
      </w:r>
      <w:r>
        <w:t xml:space="preserve">es politiques municipales. </w:t>
      </w:r>
    </w:p>
    <w:p w14:paraId="2F837428" w14:textId="77777777" w:rsidR="005D217B" w:rsidRDefault="005D217B" w:rsidP="005D217B">
      <w:pPr>
        <w:pStyle w:val="Paragraphedeliste"/>
        <w:numPr>
          <w:ilvl w:val="0"/>
          <w:numId w:val="32"/>
        </w:numPr>
      </w:pPr>
      <w:r>
        <w:lastRenderedPageBreak/>
        <w:t xml:space="preserve">Paul Cary, un chercheur français ayant effectué des missions de recherche sur les BP au Brésil, livre un bilan plutôt sévère dans lequel il met l’accent sur la faible autonomie des acteurs de la société civile face aux acteurs de la société politique.  Dans la conclusion d’un article consacré à l’expérience du BP à Recife de 2000 à 2004, qu’il compare souvent à celle de Porto Alegre, Cary (2005 : 227) conclut que les classes populaires y ont gagné sur le plan </w:t>
      </w:r>
      <w:r w:rsidRPr="00DA2C20">
        <w:rPr>
          <w:rFonts w:ascii="¯çÿÔˇø‚k∆" w:hAnsi="¯çÿÔˇø‚k∆" w:cs="¯çÿÔˇø‚k∆"/>
          <w:sz w:val="20"/>
          <w:szCs w:val="20"/>
          <w:lang w:val="fr-FR"/>
        </w:rPr>
        <w:t>« </w:t>
      </w:r>
      <w:r w:rsidRPr="00DA2C20">
        <w:rPr>
          <w:lang w:val="fr-FR"/>
        </w:rPr>
        <w:t>d’une redistribution</w:t>
      </w:r>
      <w:r w:rsidRPr="00DA2C20">
        <w:rPr>
          <w:rFonts w:ascii="¯çÿÔˇø‚k∆" w:hAnsi="¯çÿÔˇø‚k∆" w:cs="¯çÿÔˇø‚k∆"/>
          <w:sz w:val="20"/>
          <w:szCs w:val="20"/>
          <w:lang w:val="fr-FR"/>
        </w:rPr>
        <w:t xml:space="preserve"> </w:t>
      </w:r>
      <w:r w:rsidRPr="00DA2C20">
        <w:rPr>
          <w:lang w:val="fr-FR"/>
        </w:rPr>
        <w:t>significative des ressources publiques », mais pas autant qu’on l’affirme dans certaines études</w:t>
      </w:r>
      <w:r>
        <w:rPr>
          <w:rStyle w:val="Marquenotebasdepage"/>
          <w:lang w:val="fr-FR"/>
        </w:rPr>
        <w:footnoteReference w:id="22"/>
      </w:r>
      <w:r>
        <w:rPr>
          <w:lang w:val="fr-FR"/>
        </w:rPr>
        <w:t xml:space="preserve">, </w:t>
      </w:r>
      <w:r w:rsidRPr="00DA2C20">
        <w:rPr>
          <w:lang w:val="fr-FR"/>
        </w:rPr>
        <w:t xml:space="preserve"> sur le plan de la reconnaissance politique</w:t>
      </w:r>
      <w:r w:rsidRPr="00DA2C20">
        <w:rPr>
          <w:rFonts w:ascii="¯çÿÔˇø‚k∆" w:hAnsi="¯çÿÔˇø‚k∆" w:cs="¯çÿÔˇø‚k∆"/>
          <w:sz w:val="20"/>
          <w:szCs w:val="20"/>
          <w:lang w:val="fr-FR"/>
        </w:rPr>
        <w:t xml:space="preserve">. </w:t>
      </w:r>
      <w:r>
        <w:t xml:space="preserve">Il considère que la participation des acteurs de la société civile dans le BP de Recife est demeurée instrumentalisée par le pouvoir politique. À ses yeux, le BP demeure « très encadré par la mairie ». </w:t>
      </w:r>
    </w:p>
    <w:p w14:paraId="610BE6CA" w14:textId="77777777" w:rsidR="00E779D1" w:rsidRDefault="00E779D1" w:rsidP="00E779D1">
      <w:pPr>
        <w:pStyle w:val="Paragraphedeliste"/>
        <w:numPr>
          <w:ilvl w:val="0"/>
          <w:numId w:val="32"/>
        </w:numPr>
      </w:pPr>
      <w:r>
        <w:t xml:space="preserve">De son côté, </w:t>
      </w:r>
      <w:r w:rsidR="005D217B">
        <w:t xml:space="preserve">Leonardo </w:t>
      </w:r>
      <w:r>
        <w:t>Avritzer</w:t>
      </w:r>
      <w:r w:rsidR="005D217B">
        <w:t>, un chercheur brésilien qui a multiplié les études de cas sur les BP dans quelques gra</w:t>
      </w:r>
      <w:r w:rsidR="00867BA4">
        <w:t>ndes villes, livre un bilan plutôt</w:t>
      </w:r>
      <w:r w:rsidR="005D217B">
        <w:t xml:space="preserve"> optimiste dans deux écrits </w:t>
      </w:r>
      <w:r w:rsidR="005D217B" w:rsidRPr="00E15B0C">
        <w:t>substantiels (2002 et 2006).</w:t>
      </w:r>
      <w:r w:rsidR="005D217B">
        <w:t xml:space="preserve"> Dans un </w:t>
      </w:r>
      <w:r>
        <w:t xml:space="preserve"> </w:t>
      </w:r>
      <w:r w:rsidR="00614857">
        <w:t>premier texte (2002)</w:t>
      </w:r>
      <w:r w:rsidR="00F77224">
        <w:t>,</w:t>
      </w:r>
      <w:r w:rsidR="00614857">
        <w:t xml:space="preserve"> </w:t>
      </w:r>
      <w:r w:rsidR="005D217B">
        <w:t xml:space="preserve">il conclu ses études de cas </w:t>
      </w:r>
      <w:r>
        <w:t>en disant que la politique des PB à Porto Alegre et Belo Horizonte constitue une « réussite réelle sur le plan de la capacité offerte aux citoyens de h</w:t>
      </w:r>
      <w:r w:rsidR="00354A88">
        <w:t>iérarchiser leurs priorités ». Mais</w:t>
      </w:r>
      <w:r w:rsidR="00614857">
        <w:t>,</w:t>
      </w:r>
      <w:r w:rsidR="00354A88">
        <w:t xml:space="preserve"> il note</w:t>
      </w:r>
      <w:r w:rsidR="00867BA4">
        <w:t xml:space="preserve"> deux limites, l’une concernant </w:t>
      </w:r>
      <w:r>
        <w:t>« la faible démocratisation de la relation des acteurs de la commu</w:t>
      </w:r>
      <w:r w:rsidR="00867BA4">
        <w:t>nauté entre eux »; la</w:t>
      </w:r>
      <w:r w:rsidR="00354A88">
        <w:t xml:space="preserve"> seconde </w:t>
      </w:r>
      <w:r w:rsidR="00867BA4">
        <w:t>concernant le</w:t>
      </w:r>
      <w:r w:rsidR="00354A88">
        <w:t xml:space="preserve"> fait que la politique des PB ne </w:t>
      </w:r>
      <w:r>
        <w:t>parvient pas à</w:t>
      </w:r>
      <w:r w:rsidR="00354A88">
        <w:t xml:space="preserve"> avoir un impact sur « </w:t>
      </w:r>
      <w:r>
        <w:t xml:space="preserve"> les options de politiques publiques » (2002 :148). </w:t>
      </w:r>
      <w:r w:rsidR="00867BA4">
        <w:t>D</w:t>
      </w:r>
      <w:r w:rsidR="00F77224">
        <w:t xml:space="preserve">ans </w:t>
      </w:r>
      <w:r w:rsidR="00867BA4">
        <w:t>une autre</w:t>
      </w:r>
      <w:r w:rsidR="00F77224">
        <w:t xml:space="preserve"> </w:t>
      </w:r>
      <w:r w:rsidR="00867BA4">
        <w:t>publication</w:t>
      </w:r>
      <w:r w:rsidR="00F77224">
        <w:t>, Avritzer (2006 :429-430) tire des conclusion plus positives sur l’apport des BP</w:t>
      </w:r>
      <w:r w:rsidR="00185B19">
        <w:t xml:space="preserve"> à la démocratisation des politiques publiques locales, notamment dans les grandes villes comme Porto Alegre, Belo Horizonte et Sao Paulo. Il affirme que les interactions entre la « culture associative » et la « société politique brésilienne » au plan local a fait émerger « des formes de prises de décision plus démocratiques et délibératives ». Il souligne</w:t>
      </w:r>
      <w:r w:rsidR="00867BA4">
        <w:t xml:space="preserve"> aussi</w:t>
      </w:r>
      <w:r w:rsidR="00185B19">
        <w:t xml:space="preserve"> que ces nouvelles pratiques originales de BP ont eu un « impact important sur le patron de distribution des biens publics et la démocratisation de la culture politique ».</w:t>
      </w:r>
    </w:p>
    <w:p w14:paraId="20A1BF6F" w14:textId="77777777" w:rsidR="001C5A59" w:rsidRDefault="001C5A59" w:rsidP="00E779D1"/>
    <w:p w14:paraId="7839B5F3" w14:textId="77777777" w:rsidR="001136CE" w:rsidRDefault="004E0A6A" w:rsidP="00E779D1">
      <w:r>
        <w:t>En somme, la synthèse que nous venons de dresser concernant les expériences de BP au Brésil, à partir des écrits que nous avons examinés</w:t>
      </w:r>
      <w:r w:rsidR="00E46164">
        <w:t>, nous permettent de prendre conscience du fait que ces expériences sont plurielles et peuvent varier considérablement d’une ville à l’autre, voire d’une période à l’autre. Si nous nous en tenons à notre concept de co-construction démocratique des politiques publiques, nous sommes amenés à affirmer que cette co-construction démocratique existe dans certains cas de politiques municipales de BP</w:t>
      </w:r>
      <w:r w:rsidR="00E779D1">
        <w:t xml:space="preserve"> </w:t>
      </w:r>
      <w:r w:rsidR="00E46164">
        <w:t>au Brésil</w:t>
      </w:r>
      <w:r w:rsidR="00E779D1">
        <w:t xml:space="preserve">, </w:t>
      </w:r>
      <w:r w:rsidR="00E46164">
        <w:t xml:space="preserve">mais pas dans tous les cas. En outre, les </w:t>
      </w:r>
      <w:r w:rsidR="00E46164" w:rsidRPr="00E15B0C">
        <w:t xml:space="preserve">écrits </w:t>
      </w:r>
      <w:r w:rsidR="00C702D1" w:rsidRPr="00E15B0C">
        <w:t>consult</w:t>
      </w:r>
      <w:r w:rsidR="00E46164" w:rsidRPr="00E15B0C">
        <w:t>és</w:t>
      </w:r>
      <w:r w:rsidR="00E46164">
        <w:t xml:space="preserve"> nous ont permis de voir que les BP, d’une manière générale, témoignent d’</w:t>
      </w:r>
      <w:r w:rsidR="00E779D1">
        <w:t>une certaine participation des acteurs de la société civile</w:t>
      </w:r>
      <w:r w:rsidR="00027CF6">
        <w:t>, au</w:t>
      </w:r>
      <w:r w:rsidR="00136354">
        <w:t>x</w:t>
      </w:r>
      <w:r w:rsidR="00027CF6">
        <w:t xml:space="preserve"> côté</w:t>
      </w:r>
      <w:r w:rsidR="00136354">
        <w:t>s</w:t>
      </w:r>
      <w:r w:rsidR="00027CF6">
        <w:t xml:space="preserve"> des élus de la politique municipale,</w:t>
      </w:r>
      <w:r w:rsidR="00E779D1">
        <w:t xml:space="preserve"> à une co-construction démocratique</w:t>
      </w:r>
      <w:r w:rsidR="00136354">
        <w:t xml:space="preserve"> des politiques publiques</w:t>
      </w:r>
      <w:r w:rsidR="00E779D1">
        <w:t xml:space="preserve">,  </w:t>
      </w:r>
      <w:r w:rsidR="003D366C">
        <w:t>mais</w:t>
      </w:r>
      <w:r w:rsidR="00E46164">
        <w:t xml:space="preserve"> que</w:t>
      </w:r>
      <w:r w:rsidR="003D366C">
        <w:t xml:space="preserve"> celle-ci</w:t>
      </w:r>
      <w:r w:rsidR="00E46164">
        <w:t>, dans nombre de cas,</w:t>
      </w:r>
      <w:r w:rsidR="00E779D1">
        <w:t xml:space="preserve"> demeure modeste sur </w:t>
      </w:r>
      <w:r w:rsidR="00E779D1" w:rsidRPr="00E15B0C">
        <w:t>le</w:t>
      </w:r>
      <w:r w:rsidR="005B0F94" w:rsidRPr="00E15B0C">
        <w:t>s</w:t>
      </w:r>
      <w:r w:rsidR="00E779D1" w:rsidRPr="00E15B0C">
        <w:t xml:space="preserve"> plan</w:t>
      </w:r>
      <w:r w:rsidR="005B0F94" w:rsidRPr="00E15B0C">
        <w:t>s</w:t>
      </w:r>
      <w:r w:rsidR="00E779D1" w:rsidRPr="00E15B0C">
        <w:t xml:space="preserve"> de</w:t>
      </w:r>
      <w:r w:rsidR="00E779D1">
        <w:t xml:space="preserve"> sa fréquence, de son intensité et de son ampleur</w:t>
      </w:r>
      <w:r w:rsidR="00E779D1">
        <w:rPr>
          <w:rStyle w:val="Marquenotebasdepage"/>
        </w:rPr>
        <w:footnoteReference w:id="23"/>
      </w:r>
      <w:r w:rsidR="00E779D1">
        <w:t xml:space="preserve">.  </w:t>
      </w:r>
    </w:p>
    <w:p w14:paraId="5906270F" w14:textId="77777777" w:rsidR="00E15B0C" w:rsidRDefault="00E15B0C" w:rsidP="00E779D1"/>
    <w:p w14:paraId="5C1546FC" w14:textId="77777777" w:rsidR="001136CE" w:rsidRDefault="001136CE" w:rsidP="00E779D1">
      <w:r>
        <w:t xml:space="preserve">2) </w:t>
      </w:r>
      <w:r w:rsidR="00E46164">
        <w:rPr>
          <w:u w:val="single"/>
        </w:rPr>
        <w:t>Mais qu’en est-il de</w:t>
      </w:r>
      <w:r w:rsidRPr="001136CE">
        <w:rPr>
          <w:u w:val="single"/>
        </w:rPr>
        <w:t xml:space="preserve"> la participation de l’ESS dans les BP?</w:t>
      </w:r>
    </w:p>
    <w:p w14:paraId="375117E6" w14:textId="77777777" w:rsidR="00B65F9D" w:rsidRDefault="001136CE" w:rsidP="00E779D1">
      <w:r>
        <w:t>En fait, la majorité des écrits que nous avons examinés</w:t>
      </w:r>
      <w:r w:rsidR="008F7E7F">
        <w:t xml:space="preserve"> (Avritzer, Cary, Blondiaux, </w:t>
      </w:r>
      <w:r w:rsidR="00C61615" w:rsidRPr="00C61615">
        <w:t>Chaves</w:t>
      </w:r>
      <w:r w:rsidR="008F7E7F">
        <w:t xml:space="preserve"> Teixeira et Albuquerque)</w:t>
      </w:r>
      <w:r w:rsidR="00B65F9D">
        <w:t xml:space="preserve"> nous en disent peu, du moins spécifiquement, sur la participation des acteurs de l’ESS dans la co-construction démocratique vécue dans les BP brésiliens</w:t>
      </w:r>
      <w:r w:rsidR="00B65F9D" w:rsidRPr="00D83C54">
        <w:t>, un point qui nous intéresse particulièrement. Qu’avo</w:t>
      </w:r>
      <w:r w:rsidR="0063354F" w:rsidRPr="00D83C54">
        <w:t>ns-</w:t>
      </w:r>
      <w:r w:rsidR="0063354F">
        <w:t>nous à ajouter à cet égard? Nous pouvons avancer d</w:t>
      </w:r>
      <w:r w:rsidR="00B65F9D">
        <w:t xml:space="preserve">eux considérations. </w:t>
      </w:r>
    </w:p>
    <w:p w14:paraId="3D0EB10A" w14:textId="77777777" w:rsidR="00B65F9D" w:rsidRDefault="00B65F9D" w:rsidP="00E779D1"/>
    <w:p w14:paraId="77AAA858" w14:textId="77777777" w:rsidR="00C07DBA" w:rsidRDefault="00136354" w:rsidP="00E779D1">
      <w:r>
        <w:t>Premièrement</w:t>
      </w:r>
      <w:r w:rsidR="00A512D4">
        <w:t>, dans ses écrits sur les BP, Av</w:t>
      </w:r>
      <w:r w:rsidR="00B65F9D">
        <w:t xml:space="preserve">ritzer met en valeur </w:t>
      </w:r>
      <w:r w:rsidR="00B65F9D" w:rsidRPr="00B65F9D">
        <w:rPr>
          <w:i/>
        </w:rPr>
        <w:t>implicitement</w:t>
      </w:r>
      <w:r w:rsidR="00B65F9D">
        <w:t xml:space="preserve"> la contribution importante des acteurs de l’ESS dans les délibérations publiques qui ont accompagné les expériences de BP, notamment dans la Ville de Porto Alegre</w:t>
      </w:r>
      <w:r w:rsidR="008C236D">
        <w:t>. Il le fait en attirant l’attention sur le fait que</w:t>
      </w:r>
      <w:r w:rsidR="00F843E3">
        <w:t>,</w:t>
      </w:r>
      <w:r w:rsidR="008C236D">
        <w:t xml:space="preserve"> dès les années 1980, pendant la </w:t>
      </w:r>
      <w:r w:rsidR="008C236D" w:rsidRPr="00D83C54">
        <w:t xml:space="preserve">période </w:t>
      </w:r>
      <w:r w:rsidR="0063354F" w:rsidRPr="00D83C54">
        <w:t>d’émergence</w:t>
      </w:r>
      <w:r w:rsidR="0063354F">
        <w:t xml:space="preserve"> de la formule originale du</w:t>
      </w:r>
      <w:r w:rsidR="008C236D">
        <w:t xml:space="preserve"> BP</w:t>
      </w:r>
      <w:r w:rsidR="0063354F">
        <w:t xml:space="preserve">, </w:t>
      </w:r>
      <w:r w:rsidR="008C236D">
        <w:t xml:space="preserve"> à partir</w:t>
      </w:r>
      <w:r w:rsidR="0063354F">
        <w:t xml:space="preserve"> surtout</w:t>
      </w:r>
      <w:r w:rsidR="008C236D">
        <w:t xml:space="preserve"> de l’arrivée au pouvoir</w:t>
      </w:r>
      <w:r w:rsidR="0063354F">
        <w:t xml:space="preserve"> municipal</w:t>
      </w:r>
      <w:r w:rsidR="008C236D">
        <w:t xml:space="preserve"> du Parti des Travailleurs (PT)</w:t>
      </w:r>
      <w:r w:rsidR="00B507C2">
        <w:t xml:space="preserve"> en 1988</w:t>
      </w:r>
      <w:r w:rsidR="008C236D">
        <w:t xml:space="preserve">, il y avait une culture associative très forte sur le territoire. </w:t>
      </w:r>
      <w:r w:rsidR="0063354F">
        <w:t>Avritzer insiste</w:t>
      </w:r>
      <w:r w:rsidR="008C236D">
        <w:t xml:space="preserve"> sur</w:t>
      </w:r>
      <w:r w:rsidR="00F843E3">
        <w:t xml:space="preserve"> le</w:t>
      </w:r>
      <w:r w:rsidR="008C236D">
        <w:t xml:space="preserve"> fait que l’éclosion de la formule des BP à Porto Alegre, au cours des années 1988 à 2002, </w:t>
      </w:r>
      <w:r w:rsidR="0063354F">
        <w:t>s’explique par la rencontre entre une</w:t>
      </w:r>
      <w:r w:rsidR="008C236D">
        <w:t xml:space="preserve"> culture associative bien ancrée dans la société civile et une culture politique progressiste représentée par l’arrivée au pouvoir du PT pendant 15 </w:t>
      </w:r>
      <w:r w:rsidR="008C236D" w:rsidRPr="00D83C54">
        <w:t xml:space="preserve">ans </w:t>
      </w:r>
      <w:r w:rsidR="005B0F94" w:rsidRPr="00D83C54">
        <w:t>de suite</w:t>
      </w:r>
      <w:r w:rsidR="008C236D">
        <w:t xml:space="preserve"> à partir de 1988 </w:t>
      </w:r>
      <w:r w:rsidR="0063354F">
        <w:t>à</w:t>
      </w:r>
      <w:r w:rsidR="008C236D">
        <w:t xml:space="preserve"> Porto Alegre. </w:t>
      </w:r>
      <w:r w:rsidR="0063354F">
        <w:t xml:space="preserve">Or, il n’est pas difficile de comprendre ici que la culture associative dynamique dont parle Avritzer se trouve dans les faits véhiculée à Porto Alegre par des acteurs et des organisations relevant de l’ESS. </w:t>
      </w:r>
      <w:r w:rsidR="00771CE1">
        <w:t>En outre</w:t>
      </w:r>
      <w:r w:rsidR="0063354F">
        <w:t>, à</w:t>
      </w:r>
      <w:r w:rsidR="00C07DBA">
        <w:t xml:space="preserve"> partir de ce qu’Avritzer nous dit </w:t>
      </w:r>
      <w:r w:rsidR="00771CE1">
        <w:t xml:space="preserve">au sujet de </w:t>
      </w:r>
      <w:r w:rsidR="00C07DBA">
        <w:t xml:space="preserve">l’apport des BP à la démocratisation et la redistribution des biens collectifs dans une ville comme Porto Alegre, il est </w:t>
      </w:r>
      <w:r w:rsidR="00771CE1">
        <w:t>aisé de faire l’hypothèse que Porto Alegre est une des villes brésiliennes où la pratique du BP s’apparente à une co-construction démocratique et</w:t>
      </w:r>
      <w:r w:rsidR="00C07DBA">
        <w:t xml:space="preserve"> que</w:t>
      </w:r>
      <w:r w:rsidR="00771CE1">
        <w:t>, dans cette co-construction démocratique,</w:t>
      </w:r>
      <w:r w:rsidR="00C07DBA">
        <w:t xml:space="preserve"> les acteurs de l’ESS </w:t>
      </w:r>
      <w:r w:rsidR="00771CE1">
        <w:t xml:space="preserve">constituent l’une des </w:t>
      </w:r>
      <w:r w:rsidR="00C07DBA">
        <w:t>partie</w:t>
      </w:r>
      <w:r w:rsidR="00771CE1">
        <w:t>s</w:t>
      </w:r>
      <w:r w:rsidR="00C07DBA">
        <w:t xml:space="preserve"> prenante</w:t>
      </w:r>
      <w:r w:rsidR="00771CE1">
        <w:t>s</w:t>
      </w:r>
      <w:r w:rsidR="00C07DBA">
        <w:t>.</w:t>
      </w:r>
    </w:p>
    <w:p w14:paraId="69091E65" w14:textId="77777777" w:rsidR="00C07DBA" w:rsidRDefault="00C07DBA" w:rsidP="00E779D1"/>
    <w:p w14:paraId="1DDFEE39" w14:textId="77777777" w:rsidR="00710FD1" w:rsidRDefault="00136354" w:rsidP="00E779D1">
      <w:r>
        <w:t>Deuxièmement</w:t>
      </w:r>
      <w:r w:rsidR="00C07DBA">
        <w:t>, ce que les écrits d’Avritzer font ressortir implicitement se trouve développé de manière</w:t>
      </w:r>
      <w:r w:rsidR="00771CE1">
        <w:t xml:space="preserve"> plus</w:t>
      </w:r>
      <w:r w:rsidR="00C07DBA">
        <w:t xml:space="preserve"> explicite et </w:t>
      </w:r>
      <w:r w:rsidR="000C6DFC">
        <w:t>exhaustive</w:t>
      </w:r>
      <w:r w:rsidR="00C07DBA">
        <w:t xml:space="preserve"> dans les écrits d’une autre chercheus</w:t>
      </w:r>
      <w:r w:rsidR="00750E14">
        <w:t>e brésilienne, Ana Mercedes Sarr</w:t>
      </w:r>
      <w:r w:rsidR="00C07DBA">
        <w:t>ia Icaza (2002, 2005 et 2013).</w:t>
      </w:r>
      <w:r w:rsidR="00B65F9D">
        <w:t xml:space="preserve"> </w:t>
      </w:r>
      <w:r w:rsidR="00803137">
        <w:t>Cette dernière</w:t>
      </w:r>
      <w:r w:rsidR="00771CE1">
        <w:t>, dans ses recherches,</w:t>
      </w:r>
      <w:r w:rsidR="000C6DFC">
        <w:t xml:space="preserve"> s’intéresse</w:t>
      </w:r>
      <w:r w:rsidR="00C1687F">
        <w:t xml:space="preserve"> </w:t>
      </w:r>
      <w:r w:rsidR="000C6DFC">
        <w:t>à la démocratisation de l’économie et de la société</w:t>
      </w:r>
      <w:r w:rsidR="007C25E1">
        <w:t>,</w:t>
      </w:r>
      <w:r w:rsidR="000C6DFC">
        <w:t xml:space="preserve"> </w:t>
      </w:r>
      <w:r w:rsidR="00C1687F">
        <w:t xml:space="preserve">en étant particulièrement attentive à l’apport de l’ESS. Elle le fait en se penchant sur ce qui se passe </w:t>
      </w:r>
      <w:r w:rsidR="000C6DFC">
        <w:t>non seulement dans la Ville de Porto Alegre, mais aussi dans l’ensemble de l’État de Rio Grande Do Sul</w:t>
      </w:r>
      <w:r w:rsidR="00250302">
        <w:t xml:space="preserve"> (RGDS)</w:t>
      </w:r>
      <w:r w:rsidR="00C1687F">
        <w:t xml:space="preserve">. Parmi les </w:t>
      </w:r>
      <w:r w:rsidR="000C6DFC">
        <w:t xml:space="preserve"> 26 États</w:t>
      </w:r>
      <w:r w:rsidR="00C1687F">
        <w:t xml:space="preserve"> que comprend le </w:t>
      </w:r>
      <w:r w:rsidR="000C6DFC">
        <w:t>système fédéral brésilien</w:t>
      </w:r>
      <w:r w:rsidR="00C1687F">
        <w:t>, celui de RGDS</w:t>
      </w:r>
      <w:r w:rsidR="00CD74E4">
        <w:t>, avec ses 10 millions d’habitants,</w:t>
      </w:r>
      <w:r w:rsidR="00C1687F">
        <w:t xml:space="preserve"> es</w:t>
      </w:r>
      <w:r w:rsidR="00771CE1">
        <w:t>t peut être le laboratoire le plus intéressant</w:t>
      </w:r>
      <w:r w:rsidR="00C1687F">
        <w:t xml:space="preserve"> sur le plan du développement de politiques publiques progressistes relevant à la fois du gouvernement de l’État et des gouvernements municipaux</w:t>
      </w:r>
      <w:r>
        <w:t xml:space="preserve">. </w:t>
      </w:r>
      <w:r w:rsidR="00771CE1">
        <w:t>D’ailleurs, c</w:t>
      </w:r>
      <w:r w:rsidR="00CD74E4">
        <w:t>’est la raison pour laquelle</w:t>
      </w:r>
      <w:r w:rsidR="00771CE1">
        <w:t xml:space="preserve"> les</w:t>
      </w:r>
      <w:r w:rsidR="00250302">
        <w:t xml:space="preserve"> trois </w:t>
      </w:r>
      <w:r w:rsidR="00CD74E4">
        <w:t xml:space="preserve">premiers </w:t>
      </w:r>
      <w:r w:rsidR="00250302">
        <w:t>Forums sociaux mondiaux</w:t>
      </w:r>
      <w:r w:rsidR="0016118E">
        <w:t xml:space="preserve"> (FSM)</w:t>
      </w:r>
      <w:r w:rsidR="00250302">
        <w:t xml:space="preserve"> </w:t>
      </w:r>
      <w:r w:rsidR="00CD74E4">
        <w:t>ont été tenus dans l’État de RGDS et dans sa capitale, la Ville de</w:t>
      </w:r>
      <w:r w:rsidR="00250302">
        <w:t xml:space="preserve"> Porto Alegre</w:t>
      </w:r>
      <w:r w:rsidR="00CD74E4">
        <w:t>,</w:t>
      </w:r>
      <w:r w:rsidR="00250302">
        <w:t xml:space="preserve"> </w:t>
      </w:r>
      <w:r w:rsidR="00CC5CD2">
        <w:t>en janvier</w:t>
      </w:r>
      <w:r w:rsidR="00250302">
        <w:t xml:space="preserve"> 2001, </w:t>
      </w:r>
      <w:r w:rsidR="00CD74E4">
        <w:t xml:space="preserve">février 2002 et janvier 2003. En fait, </w:t>
      </w:r>
      <w:r w:rsidR="00250302">
        <w:t xml:space="preserve">cette ville </w:t>
      </w:r>
      <w:r w:rsidR="00CD74E4">
        <w:t xml:space="preserve">et cet État </w:t>
      </w:r>
      <w:r w:rsidR="00710FD1">
        <w:t>constitu</w:t>
      </w:r>
      <w:r w:rsidR="00CD74E4">
        <w:t>aient</w:t>
      </w:r>
      <w:r w:rsidR="00ED0737">
        <w:t>,</w:t>
      </w:r>
      <w:r w:rsidR="00CC5CD2">
        <w:t xml:space="preserve"> </w:t>
      </w:r>
      <w:r w:rsidR="00ED0737">
        <w:t xml:space="preserve">depuis les années 1990, </w:t>
      </w:r>
      <w:r w:rsidR="00CD74E4">
        <w:t>une réf</w:t>
      </w:r>
      <w:r w:rsidR="00ED0737">
        <w:t xml:space="preserve">érence internationale pour </w:t>
      </w:r>
      <w:r w:rsidR="00CC5CD2">
        <w:t>la recherche d’alt</w:t>
      </w:r>
      <w:r w:rsidR="00CD74E4">
        <w:t xml:space="preserve">ernatives au modèle </w:t>
      </w:r>
      <w:r w:rsidR="00CD74E4" w:rsidRPr="00D83C54">
        <w:t>néolibéral</w:t>
      </w:r>
      <w:r w:rsidR="00710FD1" w:rsidRPr="00D83C54">
        <w:t xml:space="preserve"> grâce</w:t>
      </w:r>
      <w:r w:rsidR="00CD74E4">
        <w:t xml:space="preserve"> </w:t>
      </w:r>
      <w:r w:rsidR="00710FD1">
        <w:t>à</w:t>
      </w:r>
      <w:r w:rsidR="00250302">
        <w:t xml:space="preserve"> </w:t>
      </w:r>
      <w:r w:rsidR="00ED0737">
        <w:t>leurs</w:t>
      </w:r>
      <w:r w:rsidR="00250302">
        <w:t xml:space="preserve"> budgets participatifs et</w:t>
      </w:r>
      <w:r w:rsidR="00710FD1">
        <w:t xml:space="preserve"> à</w:t>
      </w:r>
      <w:r w:rsidR="00250302">
        <w:t xml:space="preserve"> </w:t>
      </w:r>
      <w:r w:rsidR="00ED0737">
        <w:t xml:space="preserve">leurs </w:t>
      </w:r>
      <w:r w:rsidR="00250302">
        <w:t xml:space="preserve">politiques publiques </w:t>
      </w:r>
      <w:r w:rsidR="00710FD1">
        <w:t>favorables à</w:t>
      </w:r>
      <w:r w:rsidR="00250302">
        <w:t xml:space="preserve"> l’ESS. </w:t>
      </w:r>
    </w:p>
    <w:p w14:paraId="32C2B8E8" w14:textId="77777777" w:rsidR="00710FD1" w:rsidRDefault="00710FD1" w:rsidP="00E779D1"/>
    <w:p w14:paraId="733C5899" w14:textId="77777777" w:rsidR="00E779D1" w:rsidRDefault="00ED1652" w:rsidP="00E779D1">
      <w:r>
        <w:lastRenderedPageBreak/>
        <w:t>Nous ne sommes pas surpris</w:t>
      </w:r>
      <w:r w:rsidR="00ED0737">
        <w:t xml:space="preserve"> alors</w:t>
      </w:r>
      <w:r>
        <w:t xml:space="preserve"> d’apprendre</w:t>
      </w:r>
      <w:r w:rsidR="00EC041C">
        <w:t>, grâce notamment aux écrits de Sarria Icaza,</w:t>
      </w:r>
      <w:r w:rsidR="00ED0737">
        <w:t xml:space="preserve"> que la Ville de Porto Alegre et </w:t>
      </w:r>
      <w:r w:rsidR="00EC041C">
        <w:t>d’</w:t>
      </w:r>
      <w:r w:rsidR="00ED0737">
        <w:t>autres villes de l’État de RGDS</w:t>
      </w:r>
      <w:r w:rsidR="00315E3E">
        <w:t xml:space="preserve"> </w:t>
      </w:r>
      <w:r w:rsidR="0016118E">
        <w:t>se classent</w:t>
      </w:r>
      <w:r w:rsidR="00717E7B">
        <w:t xml:space="preserve"> au Brésil</w:t>
      </w:r>
      <w:r w:rsidR="0016118E">
        <w:t xml:space="preserve"> </w:t>
      </w:r>
      <w:r>
        <w:t>parmi</w:t>
      </w:r>
      <w:r w:rsidR="00ED0737">
        <w:t xml:space="preserve"> </w:t>
      </w:r>
      <w:r w:rsidR="00EC041C">
        <w:t>celles</w:t>
      </w:r>
      <w:r w:rsidR="00ED0737">
        <w:t xml:space="preserve"> qui ont le plus développé</w:t>
      </w:r>
      <w:r w:rsidR="00EC041C">
        <w:t xml:space="preserve"> </w:t>
      </w:r>
      <w:r w:rsidR="00ED0737">
        <w:t>des</w:t>
      </w:r>
      <w:r w:rsidR="00250302">
        <w:t xml:space="preserve"> </w:t>
      </w:r>
      <w:r w:rsidR="0016118E">
        <w:t xml:space="preserve">expériences de </w:t>
      </w:r>
      <w:r w:rsidR="00250302">
        <w:t>BP</w:t>
      </w:r>
      <w:r w:rsidR="00710FD1">
        <w:t xml:space="preserve"> progressistes, </w:t>
      </w:r>
      <w:r w:rsidR="00EC041C">
        <w:t>enrichies</w:t>
      </w:r>
      <w:r w:rsidR="00250302">
        <w:t xml:space="preserve"> par la participation des</w:t>
      </w:r>
      <w:r w:rsidR="00315E3E">
        <w:t xml:space="preserve"> acteurs de l’ESS</w:t>
      </w:r>
      <w:r w:rsidR="00ED0737">
        <w:t xml:space="preserve"> et reconnu</w:t>
      </w:r>
      <w:r w:rsidR="0016118E">
        <w:t>e</w:t>
      </w:r>
      <w:r w:rsidR="00ED0737">
        <w:t>s pour leur caractèr</w:t>
      </w:r>
      <w:r>
        <w:t>e démocratique et redistributif</w:t>
      </w:r>
      <w:r w:rsidR="00315E3E">
        <w:t xml:space="preserve">. </w:t>
      </w:r>
      <w:r>
        <w:t>Ces caractéristiques</w:t>
      </w:r>
      <w:r w:rsidR="00717E7B">
        <w:t xml:space="preserve"> des BP de Porto Alegre et d’autres villes de l’État de RGDS </w:t>
      </w:r>
      <w:r>
        <w:t xml:space="preserve">doivent beaucoup au fait que </w:t>
      </w:r>
      <w:r w:rsidR="00717E7B">
        <w:t>cet État</w:t>
      </w:r>
      <w:r w:rsidR="00710FD1">
        <w:t>, tout comme la Ville de Porto Alegre,</w:t>
      </w:r>
      <w:r>
        <w:t xml:space="preserve"> est doté</w:t>
      </w:r>
      <w:r w:rsidR="00717E7B">
        <w:t xml:space="preserve"> sur le plan social</w:t>
      </w:r>
      <w:r>
        <w:t xml:space="preserve"> d’une société civile robuste</w:t>
      </w:r>
      <w:r w:rsidR="00490691">
        <w:rPr>
          <w:rStyle w:val="Marquenotebasdepage"/>
        </w:rPr>
        <w:footnoteReference w:id="24"/>
      </w:r>
      <w:r>
        <w:t xml:space="preserve"> et a connu </w:t>
      </w:r>
      <w:r w:rsidR="00717E7B">
        <w:t xml:space="preserve">sur le plan politique </w:t>
      </w:r>
      <w:r>
        <w:t xml:space="preserve">plusieurs gouvernements dirigés ou bien par le PT (1999-2002 et 2011-2014), ou bien par des coalitions hégémonisées par le PT. </w:t>
      </w:r>
      <w:r w:rsidR="0016118E">
        <w:t>Dans</w:t>
      </w:r>
      <w:r w:rsidR="00315E3E">
        <w:t xml:space="preserve"> ce contexte</w:t>
      </w:r>
      <w:r w:rsidR="00750E14">
        <w:t>, les recherches de Sarr</w:t>
      </w:r>
      <w:r w:rsidR="00250302">
        <w:t>ia Icaza, sans occulter les contradictions et les zones d’ombres</w:t>
      </w:r>
      <w:r w:rsidR="00B761F4">
        <w:rPr>
          <w:rStyle w:val="Marquenotebasdepage"/>
        </w:rPr>
        <w:footnoteReference w:id="25"/>
      </w:r>
      <w:r w:rsidR="00250302">
        <w:t>, font bien ressortir que les acteurs de l’ESS</w:t>
      </w:r>
      <w:r w:rsidR="00F11B86">
        <w:t>, provenant d’anciennes mouvances coopératives et de récentes mouvances associatives, ont joué un rôle important dans la définition</w:t>
      </w:r>
      <w:r w:rsidR="005449CE">
        <w:t xml:space="preserve"> </w:t>
      </w:r>
      <w:r w:rsidR="005449CE">
        <w:rPr>
          <w:rFonts w:ascii="Cambria" w:hAnsi="Cambria"/>
        </w:rPr>
        <w:t>—</w:t>
      </w:r>
      <w:r w:rsidR="005449CE">
        <w:t>soit dans la co-construction</w:t>
      </w:r>
      <w:r w:rsidR="005449CE">
        <w:rPr>
          <w:rFonts w:ascii="Cambria" w:hAnsi="Cambria"/>
        </w:rPr>
        <w:t>—</w:t>
      </w:r>
      <w:r w:rsidR="00F11B86">
        <w:t xml:space="preserve"> comme dans la mise en œuvre</w:t>
      </w:r>
      <w:r w:rsidR="005449CE">
        <w:t xml:space="preserve"> </w:t>
      </w:r>
      <w:r w:rsidR="005449CE">
        <w:rPr>
          <w:rFonts w:ascii="Cambria" w:hAnsi="Cambria"/>
        </w:rPr>
        <w:t>—soit dans la co-production—</w:t>
      </w:r>
      <w:r w:rsidR="00F11B86">
        <w:t xml:space="preserve"> des BP</w:t>
      </w:r>
      <w:r w:rsidR="00315E3E">
        <w:t xml:space="preserve">. </w:t>
      </w:r>
      <w:r w:rsidR="00490691">
        <w:t xml:space="preserve">Autrement dit, avec la participation des acteurs associatifs et coopératifs de l’ESS, « de nouveaux acteurs sociaux revendiquent </w:t>
      </w:r>
      <w:r w:rsidR="00490691" w:rsidRPr="00D83C54">
        <w:t xml:space="preserve">l’accès </w:t>
      </w:r>
      <w:r w:rsidR="003E7E5B" w:rsidRPr="00D83C54">
        <w:t xml:space="preserve">à </w:t>
      </w:r>
      <w:r w:rsidR="00490691" w:rsidRPr="00D83C54">
        <w:t>des</w:t>
      </w:r>
      <w:r w:rsidR="00490691">
        <w:t xml:space="preserve"> ressources et à des espaces de décision qui leur étaient historiquement interdi</w:t>
      </w:r>
      <w:r w:rsidR="00750E14">
        <w:t>ts » (Sarr</w:t>
      </w:r>
      <w:r w:rsidR="00490691">
        <w:t xml:space="preserve">ia Icaza, 2005 :255). </w:t>
      </w:r>
      <w:r w:rsidR="00315E3E">
        <w:t>Nous ne sommes</w:t>
      </w:r>
      <w:r w:rsidR="00B507C2">
        <w:t xml:space="preserve"> pas surpris alors d’apprendre </w:t>
      </w:r>
      <w:r w:rsidR="00601FF8">
        <w:t xml:space="preserve">qu’un nombre significatif de </w:t>
      </w:r>
      <w:r w:rsidR="0036769D" w:rsidRPr="00D83C54">
        <w:t>leaders</w:t>
      </w:r>
      <w:r w:rsidR="00601FF8">
        <w:t xml:space="preserve"> coopératifs et </w:t>
      </w:r>
      <w:r w:rsidR="00B507C2">
        <w:t>associatifs « sont devenus délégués du bud</w:t>
      </w:r>
      <w:r w:rsidR="0036769D">
        <w:t>get participatif » (Ibid.</w:t>
      </w:r>
      <w:r w:rsidR="00B507C2">
        <w:t>, 2005 :245).</w:t>
      </w:r>
    </w:p>
    <w:p w14:paraId="6D1FC7E3" w14:textId="77777777" w:rsidR="006F7A92" w:rsidRPr="00984241" w:rsidRDefault="002F4CB6" w:rsidP="00984241">
      <w:pPr>
        <w:pStyle w:val="Titre2"/>
        <w:spacing w:before="360"/>
        <w:rPr>
          <w:color w:val="auto"/>
          <w:sz w:val="28"/>
          <w:szCs w:val="28"/>
        </w:rPr>
      </w:pPr>
      <w:bookmarkStart w:id="15" w:name="_Toc405129031"/>
      <w:r w:rsidRPr="00984241">
        <w:rPr>
          <w:color w:val="auto"/>
          <w:sz w:val="28"/>
          <w:szCs w:val="28"/>
        </w:rPr>
        <w:t xml:space="preserve">4.3 </w:t>
      </w:r>
      <w:r w:rsidR="00A01E94" w:rsidRPr="00984241">
        <w:rPr>
          <w:color w:val="auto"/>
          <w:sz w:val="28"/>
          <w:szCs w:val="28"/>
        </w:rPr>
        <w:t>La</w:t>
      </w:r>
      <w:r w:rsidR="00467C72" w:rsidRPr="00984241">
        <w:rPr>
          <w:color w:val="auto"/>
          <w:sz w:val="28"/>
          <w:szCs w:val="28"/>
        </w:rPr>
        <w:t xml:space="preserve"> </w:t>
      </w:r>
      <w:r w:rsidR="00032EE0" w:rsidRPr="00984241">
        <w:rPr>
          <w:color w:val="auto"/>
          <w:sz w:val="28"/>
          <w:szCs w:val="28"/>
        </w:rPr>
        <w:t>co-construction</w:t>
      </w:r>
      <w:r w:rsidRPr="00984241">
        <w:rPr>
          <w:color w:val="auto"/>
          <w:sz w:val="28"/>
          <w:szCs w:val="28"/>
        </w:rPr>
        <w:t xml:space="preserve"> </w:t>
      </w:r>
      <w:r w:rsidR="00A01E94" w:rsidRPr="00984241">
        <w:rPr>
          <w:color w:val="auto"/>
          <w:sz w:val="28"/>
          <w:szCs w:val="28"/>
        </w:rPr>
        <w:t xml:space="preserve">au </w:t>
      </w:r>
      <w:r w:rsidR="00D358B1" w:rsidRPr="00984241">
        <w:rPr>
          <w:color w:val="auto"/>
          <w:sz w:val="28"/>
          <w:szCs w:val="28"/>
        </w:rPr>
        <w:t xml:space="preserve">Venezuela, </w:t>
      </w:r>
      <w:r w:rsidR="00A01E94" w:rsidRPr="00984241">
        <w:rPr>
          <w:color w:val="auto"/>
          <w:sz w:val="28"/>
          <w:szCs w:val="28"/>
        </w:rPr>
        <w:t xml:space="preserve">en </w:t>
      </w:r>
      <w:r w:rsidR="00D358B1" w:rsidRPr="00984241">
        <w:rPr>
          <w:color w:val="auto"/>
          <w:sz w:val="28"/>
          <w:szCs w:val="28"/>
        </w:rPr>
        <w:t>Bolivie et</w:t>
      </w:r>
      <w:r w:rsidR="00A01E94" w:rsidRPr="00984241">
        <w:rPr>
          <w:color w:val="auto"/>
          <w:sz w:val="28"/>
          <w:szCs w:val="28"/>
        </w:rPr>
        <w:t xml:space="preserve"> en</w:t>
      </w:r>
      <w:r w:rsidR="00D358B1" w:rsidRPr="00984241">
        <w:rPr>
          <w:color w:val="auto"/>
          <w:sz w:val="28"/>
          <w:szCs w:val="28"/>
        </w:rPr>
        <w:t xml:space="preserve"> Équateur</w:t>
      </w:r>
      <w:r w:rsidR="00013A8C" w:rsidRPr="00984241">
        <w:rPr>
          <w:rStyle w:val="Marquenotebasdepage"/>
          <w:b w:val="0"/>
          <w:color w:val="auto"/>
          <w:sz w:val="28"/>
          <w:szCs w:val="28"/>
        </w:rPr>
        <w:footnoteReference w:id="26"/>
      </w:r>
      <w:bookmarkEnd w:id="15"/>
      <w:r w:rsidR="00D97B3F" w:rsidRPr="00984241">
        <w:rPr>
          <w:color w:val="auto"/>
          <w:sz w:val="28"/>
          <w:szCs w:val="28"/>
        </w:rPr>
        <w:t xml:space="preserve"> </w:t>
      </w:r>
    </w:p>
    <w:p w14:paraId="7744354A" w14:textId="77777777" w:rsidR="003F69C0" w:rsidRDefault="00D97B3F" w:rsidP="00880FC1">
      <w:r>
        <w:t xml:space="preserve">Dans cette </w:t>
      </w:r>
      <w:r w:rsidR="001723A6">
        <w:t>partie</w:t>
      </w:r>
      <w:r>
        <w:t xml:space="preserve">, nous nous référons particulièrement aux enjeux concernant la co-construction démocratique dans trois </w:t>
      </w:r>
      <w:r w:rsidR="00440225">
        <w:t>pays</w:t>
      </w:r>
      <w:r w:rsidR="00F2680D">
        <w:t xml:space="preserve"> de la région de l’ALC</w:t>
      </w:r>
      <w:r w:rsidR="00440225">
        <w:t xml:space="preserve"> </w:t>
      </w:r>
      <w:r>
        <w:t>qui</w:t>
      </w:r>
      <w:r w:rsidR="00F2680D">
        <w:t xml:space="preserve">, </w:t>
      </w:r>
      <w:r w:rsidR="001723A6">
        <w:t>ces dernières années</w:t>
      </w:r>
      <w:r w:rsidR="00F2680D">
        <w:t>,</w:t>
      </w:r>
      <w:r>
        <w:t xml:space="preserve"> </w:t>
      </w:r>
      <w:r w:rsidRPr="006347FA">
        <w:t xml:space="preserve">ont </w:t>
      </w:r>
      <w:r w:rsidR="003E7E5B" w:rsidRPr="006347FA">
        <w:t xml:space="preserve">été dirigés par </w:t>
      </w:r>
      <w:r w:rsidR="00F2680D" w:rsidRPr="006347FA">
        <w:t>des</w:t>
      </w:r>
      <w:r w:rsidRPr="006347FA">
        <w:t xml:space="preserve"> gouvernements</w:t>
      </w:r>
      <w:r>
        <w:t xml:space="preserve"> de gauche se réclamant du « socialisme du 21</w:t>
      </w:r>
      <w:r w:rsidRPr="00D97B3F">
        <w:rPr>
          <w:vertAlign w:val="superscript"/>
        </w:rPr>
        <w:t>e</w:t>
      </w:r>
      <w:r>
        <w:t xml:space="preserve"> siècle ». Nous </w:t>
      </w:r>
      <w:r w:rsidR="00C93500">
        <w:t>faisons référence</w:t>
      </w:r>
      <w:r w:rsidR="00380A5A">
        <w:t xml:space="preserve"> aux gouvernements d’</w:t>
      </w:r>
      <w:r w:rsidR="00312FD5">
        <w:t xml:space="preserve">Hugo </w:t>
      </w:r>
      <w:r>
        <w:t>Chavez et</w:t>
      </w:r>
      <w:r w:rsidR="00312FD5">
        <w:t xml:space="preserve"> de </w:t>
      </w:r>
      <w:r w:rsidR="00312FD5">
        <w:rPr>
          <w:rFonts w:eastAsia="Times New Roman" w:cs="Times New Roman"/>
        </w:rPr>
        <w:t>Nicolás</w:t>
      </w:r>
      <w:r>
        <w:t xml:space="preserve"> Madu</w:t>
      </w:r>
      <w:r w:rsidR="00312FD5">
        <w:t xml:space="preserve">ro au Venezuela </w:t>
      </w:r>
      <w:r w:rsidR="007131E5">
        <w:t>(</w:t>
      </w:r>
      <w:r w:rsidR="00312FD5">
        <w:t>1999</w:t>
      </w:r>
      <w:r w:rsidR="007131E5">
        <w:t>-</w:t>
      </w:r>
      <w:r w:rsidR="00C93500">
        <w:t>2014</w:t>
      </w:r>
      <w:r w:rsidR="007131E5">
        <w:t>)</w:t>
      </w:r>
      <w:r w:rsidR="00312FD5">
        <w:t xml:space="preserve">, d’Evo </w:t>
      </w:r>
      <w:r>
        <w:t xml:space="preserve">Morales en Bolivie </w:t>
      </w:r>
      <w:r w:rsidR="007131E5">
        <w:t>(</w:t>
      </w:r>
      <w:r>
        <w:t>2005</w:t>
      </w:r>
      <w:r w:rsidR="007131E5">
        <w:t>-</w:t>
      </w:r>
      <w:r w:rsidR="00C93500">
        <w:t>2014</w:t>
      </w:r>
      <w:r w:rsidR="007131E5">
        <w:t>)</w:t>
      </w:r>
      <w:r>
        <w:t xml:space="preserve"> et de </w:t>
      </w:r>
      <w:r w:rsidR="00312FD5">
        <w:t xml:space="preserve">Rafael </w:t>
      </w:r>
      <w:r>
        <w:t xml:space="preserve">Correa  en Équateur </w:t>
      </w:r>
      <w:r w:rsidR="007131E5">
        <w:t>(</w:t>
      </w:r>
      <w:r>
        <w:t>2006</w:t>
      </w:r>
      <w:r w:rsidR="007131E5">
        <w:t>-</w:t>
      </w:r>
      <w:r w:rsidR="003F521D">
        <w:t>2014</w:t>
      </w:r>
      <w:r w:rsidR="007131E5">
        <w:t>)</w:t>
      </w:r>
      <w:r>
        <w:t>.</w:t>
      </w:r>
      <w:r w:rsidR="00971E34">
        <w:t xml:space="preserve"> </w:t>
      </w:r>
      <w:r w:rsidR="0022452E">
        <w:t xml:space="preserve"> La thèse </w:t>
      </w:r>
      <w:r w:rsidR="001723A6">
        <w:t>défendue</w:t>
      </w:r>
      <w:r w:rsidR="0005201A">
        <w:t xml:space="preserve"> ici</w:t>
      </w:r>
      <w:r w:rsidR="003F521D">
        <w:t xml:space="preserve"> </w:t>
      </w:r>
      <w:r w:rsidR="0005201A">
        <w:t>est la suivante :</w:t>
      </w:r>
      <w:r w:rsidR="003F521D">
        <w:t xml:space="preserve"> </w:t>
      </w:r>
      <w:r w:rsidR="0022452E">
        <w:t>la co-construction démocratique est p</w:t>
      </w:r>
      <w:r w:rsidR="00874618">
        <w:t>ossible et existe dans ces pays; elle a pris forme au moment des assemblées constituantes dans ces pays;</w:t>
      </w:r>
      <w:r w:rsidR="0022452E">
        <w:t xml:space="preserve"> mais </w:t>
      </w:r>
      <w:r w:rsidR="001723A6">
        <w:t xml:space="preserve">elle </w:t>
      </w:r>
      <w:r w:rsidR="00874618">
        <w:t>rencontre présentement des difficultés</w:t>
      </w:r>
      <w:r w:rsidR="0022452E">
        <w:t>,  dans un</w:t>
      </w:r>
      <w:r w:rsidR="00DB488D">
        <w:t>e</w:t>
      </w:r>
      <w:r w:rsidR="0022452E">
        <w:t xml:space="preserve"> </w:t>
      </w:r>
      <w:r w:rsidR="00DB488D">
        <w:t>conjoncture politique</w:t>
      </w:r>
      <w:r w:rsidR="0022452E">
        <w:t xml:space="preserve"> </w:t>
      </w:r>
      <w:r w:rsidR="00CF73AB">
        <w:t>marqué</w:t>
      </w:r>
      <w:r w:rsidR="00DB488D">
        <w:t>e</w:t>
      </w:r>
      <w:r w:rsidR="00CF73AB">
        <w:t xml:space="preserve"> par</w:t>
      </w:r>
      <w:r w:rsidR="00BF798F">
        <w:t xml:space="preserve"> une </w:t>
      </w:r>
      <w:r w:rsidR="001723A6">
        <w:t>accentuation</w:t>
      </w:r>
      <w:r w:rsidR="00CF73AB">
        <w:t xml:space="preserve"> des</w:t>
      </w:r>
      <w:r w:rsidR="0022452E">
        <w:t xml:space="preserve"> polarisation</w:t>
      </w:r>
      <w:r w:rsidR="00CF73AB">
        <w:t>s</w:t>
      </w:r>
      <w:r w:rsidR="00380A5A">
        <w:t>. Ces</w:t>
      </w:r>
      <w:r w:rsidR="00DB488D">
        <w:t xml:space="preserve"> </w:t>
      </w:r>
      <w:r w:rsidR="00380A5A">
        <w:t>polarisa</w:t>
      </w:r>
      <w:r w:rsidR="001723A6">
        <w:t>tion</w:t>
      </w:r>
      <w:r w:rsidR="00380A5A">
        <w:t>s</w:t>
      </w:r>
      <w:r w:rsidR="00DB488D">
        <w:t xml:space="preserve"> </w:t>
      </w:r>
      <w:r w:rsidR="001723A6">
        <w:t>affecte</w:t>
      </w:r>
      <w:r w:rsidR="00380A5A">
        <w:t>nt</w:t>
      </w:r>
      <w:r w:rsidR="00BF798F">
        <w:t xml:space="preserve"> </w:t>
      </w:r>
      <w:r w:rsidR="00DB488D">
        <w:t xml:space="preserve">les possibilités de délibération démocratique </w:t>
      </w:r>
      <w:r w:rsidR="00BF798F">
        <w:t>non seulement</w:t>
      </w:r>
      <w:r w:rsidR="00DB488D">
        <w:t xml:space="preserve"> </w:t>
      </w:r>
      <w:r w:rsidR="00BF798F">
        <w:t xml:space="preserve"> entre la </w:t>
      </w:r>
      <w:r w:rsidR="00BF798F">
        <w:lastRenderedPageBreak/>
        <w:t>droite et la gauche</w:t>
      </w:r>
      <w:r w:rsidR="00DB488D">
        <w:t>,</w:t>
      </w:r>
      <w:r w:rsidR="00BF798F">
        <w:t xml:space="preserve"> comme c’est </w:t>
      </w:r>
      <w:r w:rsidR="00E64E51">
        <w:t xml:space="preserve">particulièrement </w:t>
      </w:r>
      <w:r w:rsidR="00BF798F">
        <w:t>le cas au Venezuela</w:t>
      </w:r>
      <w:r w:rsidR="00DB488D">
        <w:rPr>
          <w:rStyle w:val="Marquenotebasdepage"/>
        </w:rPr>
        <w:footnoteReference w:id="27"/>
      </w:r>
      <w:r w:rsidR="00BF798F">
        <w:t xml:space="preserve">, mais </w:t>
      </w:r>
      <w:r w:rsidR="003F521D">
        <w:t>aussi</w:t>
      </w:r>
      <w:r w:rsidR="00BF798F">
        <w:t xml:space="preserve"> au sein même de la gauche</w:t>
      </w:r>
      <w:r w:rsidR="003F521D">
        <w:t>,</w:t>
      </w:r>
      <w:r w:rsidR="00BF798F">
        <w:t xml:space="preserve"> comme c’est le cas</w:t>
      </w:r>
      <w:r w:rsidR="00DB488D">
        <w:t xml:space="preserve"> </w:t>
      </w:r>
      <w:r w:rsidR="00BF798F">
        <w:t>en Bolivie et en Équateur</w:t>
      </w:r>
      <w:r w:rsidR="003F521D">
        <w:t xml:space="preserve"> </w:t>
      </w:r>
      <w:r w:rsidR="00DB488D">
        <w:t>depuis 2010</w:t>
      </w:r>
      <w:r w:rsidR="0022452E">
        <w:t xml:space="preserve">. </w:t>
      </w:r>
    </w:p>
    <w:p w14:paraId="0EBD5265" w14:textId="77777777" w:rsidR="00626F60" w:rsidRDefault="00626F60" w:rsidP="00880FC1"/>
    <w:p w14:paraId="100E9F92" w14:textId="77777777" w:rsidR="00D54DB9" w:rsidRDefault="005D1A25" w:rsidP="00880FC1">
      <w:r>
        <w:t xml:space="preserve">Pour décliner notre </w:t>
      </w:r>
      <w:r w:rsidR="00346E93">
        <w:t>analyse</w:t>
      </w:r>
      <w:r>
        <w:t xml:space="preserve">, nous procédons en </w:t>
      </w:r>
      <w:r w:rsidR="00266EC8">
        <w:t>quatre</w:t>
      </w:r>
      <w:r>
        <w:t xml:space="preserve"> étapes. Premièrement, nous nous démarquons d’une gauche radicale</w:t>
      </w:r>
      <w:r w:rsidR="00380A5A">
        <w:t xml:space="preserve"> et doctrinaire</w:t>
      </w:r>
      <w:r>
        <w:t xml:space="preserve"> </w:t>
      </w:r>
      <w:r w:rsidR="001723A6">
        <w:t xml:space="preserve">qui considère </w:t>
      </w:r>
      <w:r w:rsidR="00380A5A">
        <w:t xml:space="preserve">qu’il n’y a </w:t>
      </w:r>
      <w:r w:rsidR="00346E93">
        <w:t xml:space="preserve"> tout simplement</w:t>
      </w:r>
      <w:r>
        <w:t xml:space="preserve"> pas </w:t>
      </w:r>
      <w:r w:rsidR="00380A5A">
        <w:t>de gouvernements progressistes au</w:t>
      </w:r>
      <w:r>
        <w:t xml:space="preserve"> pouvoir dans les trois pays mentionnés. Deuxièmement, nous </w:t>
      </w:r>
      <w:r w:rsidR="001723A6">
        <w:t>avançons</w:t>
      </w:r>
      <w:r>
        <w:t xml:space="preserve"> qu’il y a eu de la co-construction démocratique</w:t>
      </w:r>
      <w:r w:rsidR="001723A6">
        <w:t xml:space="preserve"> dans les trois pays</w:t>
      </w:r>
      <w:r>
        <w:t xml:space="preserve"> au moment</w:t>
      </w:r>
      <w:r w:rsidR="00F866E0">
        <w:t xml:space="preserve"> des démarches d’assemblée constituante</w:t>
      </w:r>
      <w:r>
        <w:t>. Troisièmement, nous montrons comment la co-construction es</w:t>
      </w:r>
      <w:r w:rsidR="00F866E0">
        <w:t xml:space="preserve">t devenue plus </w:t>
      </w:r>
      <w:r w:rsidR="00266EC8">
        <w:t>rare</w:t>
      </w:r>
      <w:r w:rsidR="00F866E0">
        <w:t xml:space="preserve"> avec l’aggravation des</w:t>
      </w:r>
      <w:r>
        <w:t xml:space="preserve"> polarisation</w:t>
      </w:r>
      <w:r w:rsidR="00F866E0">
        <w:t>s</w:t>
      </w:r>
      <w:r>
        <w:t xml:space="preserve"> au sein de la gauche en Bolivie et en Équateur </w:t>
      </w:r>
      <w:r w:rsidR="00266EC8">
        <w:t>dans les années</w:t>
      </w:r>
      <w:r>
        <w:t xml:space="preserve"> 2010</w:t>
      </w:r>
      <w:r w:rsidR="00266EC8">
        <w:t>-2014</w:t>
      </w:r>
      <w:r>
        <w:t>. Quatrième</w:t>
      </w:r>
      <w:r w:rsidR="00D358B1">
        <w:t>me</w:t>
      </w:r>
      <w:r>
        <w:t>nt</w:t>
      </w:r>
      <w:r w:rsidR="002D57F9">
        <w:t xml:space="preserve">, nous </w:t>
      </w:r>
      <w:r w:rsidR="00F866E0">
        <w:t xml:space="preserve">faisons ressortir </w:t>
      </w:r>
      <w:r w:rsidR="000C174F">
        <w:t>que certaines composantes de la gauche</w:t>
      </w:r>
      <w:r w:rsidR="00D90111">
        <w:t xml:space="preserve"> anarchist</w:t>
      </w:r>
      <w:r w:rsidR="002D57F9">
        <w:t xml:space="preserve">e </w:t>
      </w:r>
      <w:r w:rsidR="00F866E0">
        <w:t>ne s’intéresse</w:t>
      </w:r>
      <w:r w:rsidR="000C174F">
        <w:t>nt</w:t>
      </w:r>
      <w:r w:rsidR="006B24CB">
        <w:t xml:space="preserve"> tout simplement</w:t>
      </w:r>
      <w:r w:rsidR="00F866E0">
        <w:t xml:space="preserve"> pas</w:t>
      </w:r>
      <w:r w:rsidR="00266EC8">
        <w:t xml:space="preserve"> à la possibilité de  co-construire</w:t>
      </w:r>
      <w:r w:rsidR="002D57F9">
        <w:t xml:space="preserve"> démocratique</w:t>
      </w:r>
      <w:r w:rsidR="00266EC8">
        <w:t>ment des politiques publiques</w:t>
      </w:r>
      <w:r w:rsidR="002D57F9">
        <w:t xml:space="preserve">. </w:t>
      </w:r>
    </w:p>
    <w:p w14:paraId="1C0C6454" w14:textId="77777777" w:rsidR="00D54DB9" w:rsidRDefault="00D54DB9" w:rsidP="00880FC1"/>
    <w:p w14:paraId="2271BE83" w14:textId="77777777" w:rsidR="003F69C0" w:rsidRPr="00620D65" w:rsidRDefault="00984241" w:rsidP="00620D65">
      <w:pPr>
        <w:pStyle w:val="Titre3"/>
        <w:spacing w:before="240"/>
        <w:rPr>
          <w:color w:val="auto"/>
          <w:sz w:val="28"/>
          <w:szCs w:val="28"/>
        </w:rPr>
      </w:pPr>
      <w:bookmarkStart w:id="16" w:name="_Toc405129032"/>
      <w:r w:rsidRPr="00620D65">
        <w:rPr>
          <w:color w:val="auto"/>
          <w:sz w:val="28"/>
          <w:szCs w:val="28"/>
        </w:rPr>
        <w:t>4.3.1</w:t>
      </w:r>
      <w:r w:rsidR="00646B8A" w:rsidRPr="00620D65">
        <w:rPr>
          <w:color w:val="auto"/>
          <w:sz w:val="28"/>
          <w:szCs w:val="28"/>
        </w:rPr>
        <w:t xml:space="preserve"> R</w:t>
      </w:r>
      <w:r w:rsidR="0025133A" w:rsidRPr="00620D65">
        <w:rPr>
          <w:color w:val="auto"/>
          <w:sz w:val="28"/>
          <w:szCs w:val="28"/>
        </w:rPr>
        <w:t>ompre avec le modèle néolibéral, ce n’est pas rien</w:t>
      </w:r>
      <w:r w:rsidR="00216612" w:rsidRPr="00620D65">
        <w:rPr>
          <w:color w:val="auto"/>
          <w:sz w:val="28"/>
          <w:szCs w:val="28"/>
        </w:rPr>
        <w:t>!</w:t>
      </w:r>
      <w:bookmarkEnd w:id="16"/>
    </w:p>
    <w:p w14:paraId="00A672D2" w14:textId="77777777" w:rsidR="00626F60" w:rsidRDefault="00626F60" w:rsidP="00880FC1">
      <w:r>
        <w:t xml:space="preserve">D’entrée de jeu, nous trouvons important d’affirmer </w:t>
      </w:r>
      <w:r w:rsidR="00561775">
        <w:t>que les gouvernements d</w:t>
      </w:r>
      <w:r>
        <w:t>es trois pays</w:t>
      </w:r>
      <w:r w:rsidR="00561775">
        <w:t xml:space="preserve"> observés</w:t>
      </w:r>
      <w:r>
        <w:t xml:space="preserve"> sont effectivement</w:t>
      </w:r>
      <w:r w:rsidR="002D57F9">
        <w:t xml:space="preserve"> </w:t>
      </w:r>
      <w:r>
        <w:t>des gouvernement</w:t>
      </w:r>
      <w:r w:rsidR="003660F2">
        <w:t>s</w:t>
      </w:r>
      <w:r>
        <w:t xml:space="preserve"> de gauche</w:t>
      </w:r>
      <w:r w:rsidR="003660F2">
        <w:t xml:space="preserve">. </w:t>
      </w:r>
      <w:r w:rsidR="00874618">
        <w:t>Cela ne veut pas dire qu’ils</w:t>
      </w:r>
      <w:r w:rsidR="00561775">
        <w:t xml:space="preserve"> ne doivent pas être</w:t>
      </w:r>
      <w:r w:rsidR="003660F2">
        <w:t xml:space="preserve"> critiqués avec </w:t>
      </w:r>
      <w:r w:rsidR="00D143A7">
        <w:t>sévérité</w:t>
      </w:r>
      <w:r w:rsidR="003660F2">
        <w:t xml:space="preserve"> </w:t>
      </w:r>
      <w:r w:rsidR="00B52986">
        <w:t>à plusieurs égards</w:t>
      </w:r>
      <w:r w:rsidR="003660F2">
        <w:t xml:space="preserve">. </w:t>
      </w:r>
      <w:r w:rsidR="00D143A7">
        <w:t>Toutefois</w:t>
      </w:r>
      <w:r w:rsidR="003660F2">
        <w:t xml:space="preserve">, </w:t>
      </w:r>
      <w:r w:rsidR="006B24CB">
        <w:t>avec</w:t>
      </w:r>
      <w:r w:rsidR="00D143A7">
        <w:t xml:space="preserve"> le sociologue brésilien </w:t>
      </w:r>
      <w:r w:rsidR="00F56CF9">
        <w:t>Emir Sa</w:t>
      </w:r>
      <w:r w:rsidR="00D143A7">
        <w:t>der (2013 et 2014), nous considérons</w:t>
      </w:r>
      <w:r w:rsidR="00B52986">
        <w:t xml:space="preserve"> important de reconnaître</w:t>
      </w:r>
      <w:r w:rsidR="00D143A7">
        <w:t xml:space="preserve"> </w:t>
      </w:r>
      <w:r w:rsidR="00F56CF9">
        <w:t>que les gouvernements du Venezuela, de la Bolivie et de l’Équateu</w:t>
      </w:r>
      <w:r w:rsidR="00D143A7">
        <w:t xml:space="preserve">r </w:t>
      </w:r>
      <w:r w:rsidR="00F56CF9">
        <w:t>sont de gauche dans la mesure où ils</w:t>
      </w:r>
      <w:r w:rsidR="00D143A7">
        <w:t xml:space="preserve"> ont</w:t>
      </w:r>
      <w:r w:rsidR="00F56CF9">
        <w:t xml:space="preserve"> rompu avec </w:t>
      </w:r>
      <w:r w:rsidR="00B87631">
        <w:t>la forme</w:t>
      </w:r>
      <w:r w:rsidR="00F56CF9">
        <w:t xml:space="preserve"> néolibéral</w:t>
      </w:r>
      <w:r w:rsidR="00B87631">
        <w:t>e du capitalisme</w:t>
      </w:r>
      <w:r w:rsidR="00F56CF9">
        <w:t>. D’où l’utilisation du qua</w:t>
      </w:r>
      <w:r w:rsidR="00F76B9C">
        <w:t>lificatif « post-</w:t>
      </w:r>
      <w:r w:rsidR="00B87631">
        <w:t xml:space="preserve">néolibéral », utilisé par </w:t>
      </w:r>
      <w:r w:rsidR="00D143A7">
        <w:t xml:space="preserve">Sader </w:t>
      </w:r>
      <w:r w:rsidR="00F56CF9">
        <w:t>pour qualifi</w:t>
      </w:r>
      <w:r w:rsidR="00BA36D2">
        <w:t>er les gouvernements de Chavez,</w:t>
      </w:r>
      <w:r w:rsidR="00F56CF9">
        <w:t xml:space="preserve"> et Correa. </w:t>
      </w:r>
    </w:p>
    <w:p w14:paraId="0C8FA3DB" w14:textId="77777777" w:rsidR="003660F2" w:rsidRDefault="003660F2" w:rsidP="00880FC1"/>
    <w:p w14:paraId="7D8DB98F" w14:textId="77777777" w:rsidR="008A4D01" w:rsidRDefault="008F1DA4" w:rsidP="00880FC1">
      <w:r>
        <w:t>Ce faisant</w:t>
      </w:r>
      <w:r w:rsidR="003660F2">
        <w:t>, n</w:t>
      </w:r>
      <w:r w:rsidR="00880FC1">
        <w:t xml:space="preserve">ous </w:t>
      </w:r>
      <w:r w:rsidR="00E06D09">
        <w:t>nous démarquons</w:t>
      </w:r>
      <w:r w:rsidR="003660F2">
        <w:t xml:space="preserve"> </w:t>
      </w:r>
      <w:r w:rsidR="00880FC1">
        <w:t>du point de vue d’une gauche</w:t>
      </w:r>
      <w:r w:rsidR="00E06D09">
        <w:t xml:space="preserve"> </w:t>
      </w:r>
      <w:r w:rsidR="00880FC1">
        <w:t>radicale</w:t>
      </w:r>
      <w:r w:rsidR="00B52986">
        <w:t xml:space="preserve"> et </w:t>
      </w:r>
      <w:r w:rsidR="00E06D09">
        <w:t>maximaliste</w:t>
      </w:r>
      <w:r w:rsidR="00880FC1">
        <w:t xml:space="preserve"> pour laquelle les gouvernements des trois pays mentionnés ne sont tout simplement pas des gouvernements de gauche</w:t>
      </w:r>
      <w:r w:rsidR="00E06D09">
        <w:t>, parce que leurs politiques sont anti-néolibérales sans être anti-capitalistes</w:t>
      </w:r>
      <w:r w:rsidR="00880FC1">
        <w:t>.</w:t>
      </w:r>
      <w:r w:rsidR="0027000F">
        <w:t xml:space="preserve"> </w:t>
      </w:r>
      <w:r w:rsidR="00ED4209">
        <w:t>Ce point de vue</w:t>
      </w:r>
      <w:r w:rsidR="008E06CD">
        <w:t>,</w:t>
      </w:r>
      <w:r w:rsidR="00ED4209">
        <w:t xml:space="preserve"> exprimé</w:t>
      </w:r>
      <w:r w:rsidR="006064DC">
        <w:t xml:space="preserve"> dans sa variante marxi</w:t>
      </w:r>
      <w:r w:rsidR="00ED4209">
        <w:t>ste orthodoxe</w:t>
      </w:r>
      <w:r w:rsidR="008E06CD">
        <w:t>,</w:t>
      </w:r>
      <w:r w:rsidR="00ED4209">
        <w:t xml:space="preserve"> est bien illustré</w:t>
      </w:r>
      <w:r w:rsidR="00B52986">
        <w:t xml:space="preserve"> par exemple</w:t>
      </w:r>
      <w:r w:rsidR="006064DC">
        <w:t xml:space="preserve"> dans </w:t>
      </w:r>
      <w:r w:rsidR="003660F2">
        <w:t>plusieurs</w:t>
      </w:r>
      <w:r w:rsidR="006064DC">
        <w:t xml:space="preserve"> textes de James Petras</w:t>
      </w:r>
      <w:r w:rsidR="00ED4209">
        <w:t xml:space="preserve"> (2006a, 2006b, 2009a, 2009b, 2012)</w:t>
      </w:r>
      <w:r w:rsidR="00E06D09">
        <w:t xml:space="preserve"> qui se réfèrent particulièrement à ce qui se passe en Bolivie et en Équateur</w:t>
      </w:r>
      <w:r w:rsidR="00ED4209">
        <w:t xml:space="preserve">. </w:t>
      </w:r>
      <w:r w:rsidR="006064DC">
        <w:t xml:space="preserve"> </w:t>
      </w:r>
      <w:r w:rsidR="008A4D01">
        <w:t xml:space="preserve">Dans ces </w:t>
      </w:r>
      <w:r w:rsidR="007005EA">
        <w:t>écrit</w:t>
      </w:r>
      <w:r w:rsidR="008A4D01">
        <w:t>s, Petras revient constamment à la charge pour reprocher aux gouverneme</w:t>
      </w:r>
      <w:r w:rsidR="00B52986">
        <w:t xml:space="preserve">nts de Chavez, Morales et </w:t>
      </w:r>
      <w:r w:rsidR="008A4D01">
        <w:t>Correa d’avoir omis d’appliquer les prescriptions d’un</w:t>
      </w:r>
      <w:r w:rsidR="002436A6">
        <w:t xml:space="preserve"> vrai</w:t>
      </w:r>
      <w:r w:rsidR="008A4D01">
        <w:t xml:space="preserve"> programme socialiste marxiste, c’est-à-dire de ne pas avoir nationalisé tous les moyens de production st</w:t>
      </w:r>
      <w:r w:rsidR="00B35C44">
        <w:t>ratégiques, notamment dans le domaine d</w:t>
      </w:r>
      <w:r w:rsidR="008A4D01">
        <w:t>es hydrocarbures</w:t>
      </w:r>
      <w:r w:rsidR="00170337">
        <w:rPr>
          <w:rStyle w:val="Marquenotebasdepage"/>
        </w:rPr>
        <w:footnoteReference w:id="28"/>
      </w:r>
      <w:r w:rsidR="008A4D01">
        <w:t xml:space="preserve">. </w:t>
      </w:r>
      <w:r w:rsidR="00754A75" w:rsidRPr="00754A75">
        <w:t xml:space="preserve">En </w:t>
      </w:r>
      <w:r w:rsidR="00411AC1">
        <w:t>Bolivie, d</w:t>
      </w:r>
      <w:r w:rsidR="00754A75">
        <w:t xml:space="preserve">es positions </w:t>
      </w:r>
      <w:r w:rsidR="00411AC1">
        <w:t xml:space="preserve">convergentes avec celles </w:t>
      </w:r>
      <w:r w:rsidR="00754A75">
        <w:t xml:space="preserve">de Petras sont véhiculées par </w:t>
      </w:r>
      <w:r w:rsidR="00411AC1">
        <w:t xml:space="preserve">des </w:t>
      </w:r>
      <w:r w:rsidR="0037619D">
        <w:t>intellectuels et militants</w:t>
      </w:r>
      <w:r w:rsidR="00411AC1">
        <w:t xml:space="preserve"> sociopolitiques de gauche comme Oscar Oliveira, bien connu pour son leadership dans les luttes contre la privatisation de l’eau</w:t>
      </w:r>
      <w:r w:rsidR="00CC0863">
        <w:t xml:space="preserve"> à Cochabamba en 2000</w:t>
      </w:r>
      <w:r w:rsidR="00411AC1">
        <w:t xml:space="preserve">;  comme Jaime Solares, un dirigeant syndical qui avait appelé au boycott des élections présidentielles de 2005 </w:t>
      </w:r>
      <w:r w:rsidR="00504B40">
        <w:t xml:space="preserve">dans </w:t>
      </w:r>
      <w:r w:rsidR="00504B40">
        <w:lastRenderedPageBreak/>
        <w:t>lesquelles</w:t>
      </w:r>
      <w:r w:rsidR="0091368D">
        <w:t xml:space="preserve"> Morales </w:t>
      </w:r>
      <w:r w:rsidR="00504B40">
        <w:t>se présentait</w:t>
      </w:r>
      <w:r w:rsidR="0091368D">
        <w:t xml:space="preserve"> </w:t>
      </w:r>
      <w:r w:rsidR="008A03D4" w:rsidRPr="00754A75">
        <w:t xml:space="preserve">; </w:t>
      </w:r>
      <w:r w:rsidR="00013BF1">
        <w:t xml:space="preserve">comme Raul </w:t>
      </w:r>
      <w:r w:rsidR="008A03D4" w:rsidRPr="00754A75">
        <w:t>Prada</w:t>
      </w:r>
      <w:r w:rsidR="00013BF1">
        <w:t>, ministre démissionnaire du gouvernement de Morales</w:t>
      </w:r>
      <w:r w:rsidR="00954A2B">
        <w:t xml:space="preserve"> en 2010</w:t>
      </w:r>
      <w:r w:rsidR="005931D7">
        <w:t xml:space="preserve"> qui </w:t>
      </w:r>
      <w:r w:rsidR="009D67E2">
        <w:t>reproche</w:t>
      </w:r>
      <w:r w:rsidR="005931D7">
        <w:t xml:space="preserve"> à ce dernier de </w:t>
      </w:r>
      <w:r w:rsidR="009D67E2">
        <w:t>se contenter de</w:t>
      </w:r>
      <w:r w:rsidR="005931D7">
        <w:t xml:space="preserve"> construire un « capitalisme andin amazonien »</w:t>
      </w:r>
      <w:r w:rsidR="004E1660">
        <w:t xml:space="preserve"> (Saint-Upé</w:t>
      </w:r>
      <w:r w:rsidR="009D67E2">
        <w:t>ry, 2011)</w:t>
      </w:r>
      <w:r w:rsidR="0037619D">
        <w:t xml:space="preserve">; comme Pablo Mamani </w:t>
      </w:r>
      <w:r w:rsidR="00FE6E7B" w:rsidRPr="00D73633">
        <w:t>Ramí</w:t>
      </w:r>
      <w:r w:rsidR="0037619D" w:rsidRPr="00D73633">
        <w:t>rez</w:t>
      </w:r>
      <w:r w:rsidR="002678BE">
        <w:t xml:space="preserve"> (2012)</w:t>
      </w:r>
      <w:r w:rsidR="0037619D">
        <w:t>, un sociologue aymara</w:t>
      </w:r>
      <w:r w:rsidR="00FE6E7B">
        <w:t xml:space="preserve">, qui voit en Morales et </w:t>
      </w:r>
      <w:r w:rsidR="00FE6E7B" w:rsidRPr="00D73633">
        <w:t>Garcí</w:t>
      </w:r>
      <w:r w:rsidR="002678BE" w:rsidRPr="00D73633">
        <w:t>a</w:t>
      </w:r>
      <w:r w:rsidR="002678BE">
        <w:t xml:space="preserve"> Linera des élus du peuple qui « ont trahi le processus de changement à partir du Palais gouvernemental »</w:t>
      </w:r>
      <w:r w:rsidR="008A03D4" w:rsidRPr="00754A75">
        <w:t>.</w:t>
      </w:r>
    </w:p>
    <w:p w14:paraId="4114A6B6" w14:textId="77777777" w:rsidR="008A4D01" w:rsidRDefault="008A4D01" w:rsidP="00880FC1"/>
    <w:p w14:paraId="504C6ACF" w14:textId="77777777" w:rsidR="00894D7F" w:rsidRDefault="00B87631" w:rsidP="00880FC1">
      <w:r>
        <w:t xml:space="preserve">En Équateur, un point de vue </w:t>
      </w:r>
      <w:r w:rsidR="00170337">
        <w:t xml:space="preserve">analogue </w:t>
      </w:r>
      <w:r w:rsidR="00CB037F">
        <w:t>se retrouve</w:t>
      </w:r>
      <w:r w:rsidR="00ED4209">
        <w:t xml:space="preserve"> dans</w:t>
      </w:r>
      <w:r>
        <w:t xml:space="preserve"> des écrits</w:t>
      </w:r>
      <w:r w:rsidR="00880FC1">
        <w:t xml:space="preserve"> comme ceux de l’économiste</w:t>
      </w:r>
      <w:r w:rsidR="007005EA">
        <w:t xml:space="preserve"> indigéniste</w:t>
      </w:r>
      <w:r w:rsidR="00FE6E7B">
        <w:t xml:space="preserve"> Pablo </w:t>
      </w:r>
      <w:r w:rsidR="00FE6E7B" w:rsidRPr="00D73633">
        <w:t>Dá</w:t>
      </w:r>
      <w:r w:rsidR="00880FC1" w:rsidRPr="00D73633">
        <w:t>valos</w:t>
      </w:r>
      <w:r w:rsidR="00880FC1">
        <w:t xml:space="preserve"> (2011)</w:t>
      </w:r>
      <w:r w:rsidR="00785133">
        <w:t>. Ou encore dans ceux</w:t>
      </w:r>
      <w:r w:rsidR="008E06CD">
        <w:t xml:space="preserve"> de </w:t>
      </w:r>
      <w:r w:rsidR="00880FC1">
        <w:t>la majorité</w:t>
      </w:r>
      <w:r w:rsidR="00ED4209">
        <w:t xml:space="preserve"> </w:t>
      </w:r>
      <w:r w:rsidR="008E06CD">
        <w:t xml:space="preserve">des auteurs d’un numéro </w:t>
      </w:r>
      <w:r w:rsidR="00880FC1">
        <w:t>spécial de la revue</w:t>
      </w:r>
      <w:r w:rsidR="00ED4209">
        <w:t xml:space="preserve"> équatorienne</w:t>
      </w:r>
      <w:r w:rsidR="00880FC1">
        <w:t xml:space="preserve"> </w:t>
      </w:r>
      <w:r w:rsidR="00880FC1" w:rsidRPr="003A4688">
        <w:rPr>
          <w:i/>
        </w:rPr>
        <w:t>Opcion Socialist</w:t>
      </w:r>
      <w:r w:rsidR="00100630">
        <w:rPr>
          <w:i/>
        </w:rPr>
        <w:t>a</w:t>
      </w:r>
      <w:r w:rsidR="00100630" w:rsidRPr="00100630">
        <w:t xml:space="preserve"> </w:t>
      </w:r>
      <w:r w:rsidR="00B9543D">
        <w:t xml:space="preserve">consacré à l’évaluation du gouvernement de Correa </w:t>
      </w:r>
      <w:r w:rsidR="00894D7F">
        <w:t>peu de temps après les élections présidentielles de</w:t>
      </w:r>
      <w:r w:rsidR="00B9543D">
        <w:t xml:space="preserve"> 2013</w:t>
      </w:r>
      <w:r w:rsidR="00FE6E7B">
        <w:t xml:space="preserve"> (</w:t>
      </w:r>
      <w:r w:rsidR="00FE6E7B" w:rsidRPr="00D73633">
        <w:t>Opció</w:t>
      </w:r>
      <w:r w:rsidR="00894D7F" w:rsidRPr="00D73633">
        <w:t>n</w:t>
      </w:r>
      <w:r w:rsidR="00894D7F">
        <w:t xml:space="preserve"> Socialista, 2013)</w:t>
      </w:r>
      <w:r w:rsidR="00856524">
        <w:rPr>
          <w:rStyle w:val="Marquenotebasdepage"/>
        </w:rPr>
        <w:footnoteReference w:id="29"/>
      </w:r>
      <w:r w:rsidR="00880FC1">
        <w:t xml:space="preserve">. </w:t>
      </w:r>
      <w:r w:rsidR="00AF192A">
        <w:t xml:space="preserve">Nous faisons référence </w:t>
      </w:r>
      <w:r w:rsidR="00E97EAA">
        <w:t>ici</w:t>
      </w:r>
      <w:r w:rsidR="00FE6E7B">
        <w:t xml:space="preserve">, outre à </w:t>
      </w:r>
      <w:r w:rsidR="00FE6E7B" w:rsidRPr="00D73633">
        <w:t>Dá</w:t>
      </w:r>
      <w:r w:rsidR="007005EA" w:rsidRPr="00D73633">
        <w:t>valos</w:t>
      </w:r>
      <w:r w:rsidR="007005EA">
        <w:t>,</w:t>
      </w:r>
      <w:r w:rsidR="00E97EAA">
        <w:t xml:space="preserve"> </w:t>
      </w:r>
      <w:r w:rsidR="00AF192A">
        <w:t xml:space="preserve">à des auteurs comme Natalia Sierra, Victor Granda Aguilar, Cecilia Velasque, Edgar Isch L. et Alejandra Santillana. Pour ces auteurs, les politiques du gouvernement de Correa </w:t>
      </w:r>
      <w:r w:rsidR="00170337">
        <w:t xml:space="preserve">sont souvent appelées </w:t>
      </w:r>
      <w:r w:rsidR="00AF192A">
        <w:t>progressistes</w:t>
      </w:r>
      <w:r w:rsidR="007005EA">
        <w:t>,</w:t>
      </w:r>
      <w:r w:rsidR="00170337">
        <w:t xml:space="preserve"> mais ne le sont pas en réalité,</w:t>
      </w:r>
      <w:r w:rsidR="00AF192A">
        <w:t xml:space="preserve"> </w:t>
      </w:r>
      <w:r w:rsidR="00CB037F">
        <w:t xml:space="preserve">parce qu’elles sont </w:t>
      </w:r>
      <w:r w:rsidR="00170337">
        <w:t>ni</w:t>
      </w:r>
      <w:r w:rsidR="00CB037F">
        <w:t xml:space="preserve"> anti</w:t>
      </w:r>
      <w:r w:rsidR="00170337">
        <w:t>-</w:t>
      </w:r>
      <w:r w:rsidR="00CB037F">
        <w:t xml:space="preserve">capitalistes, </w:t>
      </w:r>
      <w:r w:rsidR="00170337">
        <w:t xml:space="preserve">ni </w:t>
      </w:r>
      <w:r w:rsidR="00CB037F">
        <w:t>anti</w:t>
      </w:r>
      <w:r w:rsidR="00170337">
        <w:t>-</w:t>
      </w:r>
      <w:r w:rsidR="00CB037F">
        <w:t xml:space="preserve">patriarcales et </w:t>
      </w:r>
      <w:r w:rsidR="00170337">
        <w:t xml:space="preserve">ni </w:t>
      </w:r>
      <w:r w:rsidR="00CB037F">
        <w:t>anti</w:t>
      </w:r>
      <w:r w:rsidR="00170337">
        <w:t>-</w:t>
      </w:r>
      <w:r w:rsidR="00AF192A">
        <w:t>colo</w:t>
      </w:r>
      <w:r w:rsidR="009210A4">
        <w:t>niales. Dans l’éditorial qui clô</w:t>
      </w:r>
      <w:r w:rsidR="00AF192A">
        <w:t xml:space="preserve">ture le numéro spécial, les responsables du numéro martèlent </w:t>
      </w:r>
      <w:r w:rsidR="00170337">
        <w:t>une fois de plus</w:t>
      </w:r>
      <w:r w:rsidR="00AF192A">
        <w:t xml:space="preserve"> le</w:t>
      </w:r>
      <w:r w:rsidR="002A388B">
        <w:t>ur</w:t>
      </w:r>
      <w:r w:rsidR="00AF192A">
        <w:t xml:space="preserve"> chef d’accusation </w:t>
      </w:r>
      <w:r w:rsidR="002A388B">
        <w:t>contre le</w:t>
      </w:r>
      <w:r w:rsidR="00AF192A">
        <w:t xml:space="preserve"> gouvernement de Correa : ce gouvernement « se réclame ouvertement de la modernisation du capitalisme » (</w:t>
      </w:r>
      <w:r w:rsidR="00FE6E7B" w:rsidRPr="00B0792C">
        <w:t>Opció</w:t>
      </w:r>
      <w:r w:rsidR="00E97EAA" w:rsidRPr="00B0792C">
        <w:t>n</w:t>
      </w:r>
      <w:r w:rsidR="00E97EAA">
        <w:t xml:space="preserve"> Socialista, 2013 : 72). </w:t>
      </w:r>
    </w:p>
    <w:p w14:paraId="1EAA671C" w14:textId="77777777" w:rsidR="00894D7F" w:rsidRDefault="00894D7F" w:rsidP="00880FC1"/>
    <w:p w14:paraId="0A4263D5" w14:textId="77777777" w:rsidR="00880FC1" w:rsidRDefault="008E06CD" w:rsidP="00880FC1">
      <w:r>
        <w:t>On retrouve un point de vue analogue dans une</w:t>
      </w:r>
      <w:r w:rsidR="00B9543D">
        <w:t xml:space="preserve"> variante écologique</w:t>
      </w:r>
      <w:r>
        <w:t xml:space="preserve"> radicale qui </w:t>
      </w:r>
      <w:r w:rsidR="00B9543D">
        <w:t xml:space="preserve">traverse </w:t>
      </w:r>
      <w:r>
        <w:t>l</w:t>
      </w:r>
      <w:r w:rsidR="005E1B3B">
        <w:t>e</w:t>
      </w:r>
      <w:r w:rsidR="00B9543D">
        <w:t xml:space="preserve">s écrits récents d’une figure de proue de </w:t>
      </w:r>
      <w:r>
        <w:t>la gauche environnementale</w:t>
      </w:r>
      <w:r w:rsidR="00B9543D">
        <w:t xml:space="preserve"> en ALC, l’uruguayen Eduardo Gudynas (2011, 2013a, 2013b et 2013c).  </w:t>
      </w:r>
      <w:r w:rsidR="00880FC1">
        <w:t>À partir d’une posture à la fois anti</w:t>
      </w:r>
      <w:r w:rsidR="00170337">
        <w:t>-</w:t>
      </w:r>
      <w:r w:rsidR="00880FC1">
        <w:t>capitaliste, anti</w:t>
      </w:r>
      <w:r w:rsidR="00170337">
        <w:t>-</w:t>
      </w:r>
      <w:r w:rsidR="00880FC1">
        <w:t>patriarcale et anti</w:t>
      </w:r>
      <w:r w:rsidR="00170337">
        <w:t>-</w:t>
      </w:r>
      <w:r w:rsidR="00880FC1">
        <w:t xml:space="preserve">coloniale, </w:t>
      </w:r>
      <w:r w:rsidR="00C93764">
        <w:t xml:space="preserve">qui </w:t>
      </w:r>
      <w:r w:rsidR="008D1A1A">
        <w:t xml:space="preserve">s’appuie sur les cosmologies indigénistes et </w:t>
      </w:r>
      <w:r w:rsidR="00C93764">
        <w:t xml:space="preserve">se réclame </w:t>
      </w:r>
      <w:r w:rsidR="008D1A1A">
        <w:t xml:space="preserve">du respect </w:t>
      </w:r>
      <w:r w:rsidR="00C93764">
        <w:t xml:space="preserve">des droits de la nature et du « non-extractivisme »,  </w:t>
      </w:r>
      <w:r w:rsidR="00ED4209">
        <w:t xml:space="preserve">cette gauche </w:t>
      </w:r>
      <w:r>
        <w:t>ne semble</w:t>
      </w:r>
      <w:r w:rsidR="00880FC1">
        <w:t xml:space="preserve"> pas</w:t>
      </w:r>
      <w:r>
        <w:t xml:space="preserve"> intéressée à</w:t>
      </w:r>
      <w:r w:rsidR="00880FC1">
        <w:t xml:space="preserve"> </w:t>
      </w:r>
      <w:r w:rsidR="00ED4209">
        <w:t xml:space="preserve">entrer en </w:t>
      </w:r>
      <w:r w:rsidR="00880FC1">
        <w:t>discussion</w:t>
      </w:r>
      <w:r w:rsidR="00EB5CE0">
        <w:t xml:space="preserve"> avec d’autres</w:t>
      </w:r>
      <w:r w:rsidR="00880FC1">
        <w:t xml:space="preserve"> </w:t>
      </w:r>
      <w:r w:rsidR="00ED4209">
        <w:t>à propos du</w:t>
      </w:r>
      <w:r w:rsidR="00880FC1">
        <w:t xml:space="preserve"> caractère progressiste de gouvernements comme ceux de Correa en Équateur</w:t>
      </w:r>
      <w:r w:rsidR="00ED4209">
        <w:t xml:space="preserve"> et</w:t>
      </w:r>
      <w:r w:rsidR="00C93764">
        <w:t xml:space="preserve"> de Morales en Bolivie</w:t>
      </w:r>
      <w:r w:rsidR="008D1A1A">
        <w:t xml:space="preserve">. En fait, elle considère </w:t>
      </w:r>
      <w:r w:rsidR="00880FC1">
        <w:t>que leur projet de transformation ne dépasse pas</w:t>
      </w:r>
      <w:r w:rsidR="00170337">
        <w:t xml:space="preserve"> la</w:t>
      </w:r>
      <w:r w:rsidR="00880FC1">
        <w:t xml:space="preserve"> </w:t>
      </w:r>
      <w:r w:rsidR="009645CA">
        <w:t xml:space="preserve">« modernisation du </w:t>
      </w:r>
      <w:r w:rsidR="00880FC1">
        <w:t>capitalisme »</w:t>
      </w:r>
      <w:r w:rsidR="00C93764">
        <w:t xml:space="preserve"> et</w:t>
      </w:r>
      <w:r w:rsidR="009645CA">
        <w:t xml:space="preserve"> que, </w:t>
      </w:r>
      <w:r w:rsidR="00170337">
        <w:t>du même coup</w:t>
      </w:r>
      <w:r w:rsidR="009645CA">
        <w:t>, il</w:t>
      </w:r>
      <w:r w:rsidR="00C93764">
        <w:t xml:space="preserve"> </w:t>
      </w:r>
      <w:r w:rsidR="00170337">
        <w:t>ne vise pas l’éradication immédiate</w:t>
      </w:r>
      <w:r w:rsidR="00C93764">
        <w:t xml:space="preserve"> du capitalisme</w:t>
      </w:r>
      <w:r w:rsidR="00880FC1">
        <w:t xml:space="preserve">. Une fois lâché, un tel jugement </w:t>
      </w:r>
      <w:r w:rsidR="00C93764">
        <w:t>devient</w:t>
      </w:r>
      <w:r w:rsidR="00880FC1">
        <w:t xml:space="preserve"> sans recours. </w:t>
      </w:r>
      <w:r w:rsidR="0072450E">
        <w:t xml:space="preserve">L’objectif de rompre avec le modèle néolibéral du capitalisme se trouve </w:t>
      </w:r>
      <w:r w:rsidR="00170337">
        <w:t>rapidement banalisé,</w:t>
      </w:r>
      <w:r w:rsidR="0072450E">
        <w:t xml:space="preserve"> parce qu’il </w:t>
      </w:r>
      <w:r w:rsidR="00754A75">
        <w:t>ne va pas de pair avec celui</w:t>
      </w:r>
      <w:r w:rsidR="0072450E">
        <w:t xml:space="preserve"> de rompre avec le capitalisme.</w:t>
      </w:r>
      <w:r w:rsidR="00754A75">
        <w:t xml:space="preserve"> Conséquemment, les gouvernements qui prétendent faire une rupture avec le néolibéralisme sans éliminer le capitalisme ne peuvent pas être qualifiés de progressistes selon les tenants de cette position</w:t>
      </w:r>
      <w:r w:rsidR="0072450E">
        <w:t xml:space="preserve">. </w:t>
      </w:r>
      <w:r w:rsidR="008D1A1A">
        <w:t>En fin de course</w:t>
      </w:r>
      <w:r w:rsidR="0072450E">
        <w:t>, s</w:t>
      </w:r>
      <w:r w:rsidR="00880FC1">
        <w:t xml:space="preserve">i un gouvernement n’est pas progressiste, quels avantages y aurait-il à tenter de co-construire avec lui des politiques démocratiques? </w:t>
      </w:r>
    </w:p>
    <w:p w14:paraId="2FFCA0DF" w14:textId="77777777" w:rsidR="009768D3" w:rsidRDefault="009768D3" w:rsidP="00880FC1"/>
    <w:p w14:paraId="09B45139" w14:textId="77777777" w:rsidR="00D80981" w:rsidRPr="00D80981" w:rsidRDefault="009768D3" w:rsidP="00D80981">
      <w:pPr>
        <w:rPr>
          <w:u w:val="single"/>
        </w:rPr>
      </w:pPr>
      <w:r>
        <w:t xml:space="preserve">Mais pour nous, ces trois gouvernements sont progressistes et il vaut la peine d’examiner si dans ces trois pays il y a de la co-construction démocratique des politiques. </w:t>
      </w:r>
      <w:r w:rsidR="00074E8D">
        <w:t xml:space="preserve">Or, cet examen nous amène à affirmer qu’il y a eu de la co-construction démocratique de haute intensité au moment des assemblées constituantes, mais que cette dernière est devenue </w:t>
      </w:r>
      <w:r w:rsidR="00D21BFA">
        <w:t>une denrée rare</w:t>
      </w:r>
      <w:r w:rsidR="00074E8D">
        <w:t xml:space="preserve"> </w:t>
      </w:r>
      <w:r w:rsidR="00E7653E">
        <w:t>par la suite</w:t>
      </w:r>
      <w:r w:rsidR="00074E8D">
        <w:t xml:space="preserve">. </w:t>
      </w:r>
    </w:p>
    <w:p w14:paraId="659CB2C0" w14:textId="77777777" w:rsidR="003F69C0" w:rsidRPr="00620D65" w:rsidRDefault="00620D65" w:rsidP="00620D65">
      <w:pPr>
        <w:pStyle w:val="Titre3"/>
        <w:spacing w:before="240"/>
        <w:rPr>
          <w:color w:val="auto"/>
          <w:sz w:val="28"/>
          <w:szCs w:val="28"/>
        </w:rPr>
      </w:pPr>
      <w:bookmarkStart w:id="17" w:name="_Toc405129033"/>
      <w:r w:rsidRPr="00620D65">
        <w:rPr>
          <w:color w:val="auto"/>
          <w:sz w:val="28"/>
          <w:szCs w:val="28"/>
        </w:rPr>
        <w:lastRenderedPageBreak/>
        <w:t xml:space="preserve">4.3.2 </w:t>
      </w:r>
      <w:r w:rsidR="00646B8A" w:rsidRPr="00620D65">
        <w:rPr>
          <w:color w:val="auto"/>
          <w:sz w:val="28"/>
          <w:szCs w:val="28"/>
        </w:rPr>
        <w:t>Les A</w:t>
      </w:r>
      <w:r w:rsidR="0025133A" w:rsidRPr="00620D65">
        <w:rPr>
          <w:color w:val="auto"/>
          <w:sz w:val="28"/>
          <w:szCs w:val="28"/>
        </w:rPr>
        <w:t>ssemblée</w:t>
      </w:r>
      <w:r w:rsidR="00074E8D" w:rsidRPr="00620D65">
        <w:rPr>
          <w:color w:val="auto"/>
          <w:sz w:val="28"/>
          <w:szCs w:val="28"/>
        </w:rPr>
        <w:t>s</w:t>
      </w:r>
      <w:r w:rsidR="0025133A" w:rsidRPr="00620D65">
        <w:rPr>
          <w:color w:val="auto"/>
          <w:sz w:val="28"/>
          <w:szCs w:val="28"/>
        </w:rPr>
        <w:t xml:space="preserve"> constituante</w:t>
      </w:r>
      <w:r w:rsidR="00074E8D" w:rsidRPr="00620D65">
        <w:rPr>
          <w:color w:val="auto"/>
          <w:sz w:val="28"/>
          <w:szCs w:val="28"/>
        </w:rPr>
        <w:t>s</w:t>
      </w:r>
      <w:r w:rsidR="00354B1D" w:rsidRPr="00620D65">
        <w:rPr>
          <w:color w:val="auto"/>
          <w:sz w:val="28"/>
          <w:szCs w:val="28"/>
        </w:rPr>
        <w:t> : des</w:t>
      </w:r>
      <w:r w:rsidR="00646B8A" w:rsidRPr="00620D65">
        <w:rPr>
          <w:color w:val="auto"/>
          <w:sz w:val="28"/>
          <w:szCs w:val="28"/>
        </w:rPr>
        <w:t xml:space="preserve"> temps fort de co-construction</w:t>
      </w:r>
      <w:bookmarkEnd w:id="17"/>
    </w:p>
    <w:p w14:paraId="47824EAF" w14:textId="77777777" w:rsidR="00B50D92" w:rsidRDefault="00A143F0" w:rsidP="000A3F52">
      <w:r>
        <w:t>Dans des</w:t>
      </w:r>
      <w:r w:rsidR="00971E34">
        <w:t xml:space="preserve"> écrits</w:t>
      </w:r>
      <w:r>
        <w:t xml:space="preserve"> antérieurs, </w:t>
      </w:r>
      <w:r w:rsidR="00971E34">
        <w:t xml:space="preserve">nous avons </w:t>
      </w:r>
      <w:r w:rsidR="008D1A1A">
        <w:t xml:space="preserve">déjà </w:t>
      </w:r>
      <w:r w:rsidR="00971E34">
        <w:t>démontré que la problématique de la co-construction était présente dans</w:t>
      </w:r>
      <w:r w:rsidR="005807BC">
        <w:t xml:space="preserve"> le contenu de</w:t>
      </w:r>
      <w:r w:rsidR="00971E34">
        <w:t xml:space="preserve"> la Constitution de l’Équateur et </w:t>
      </w:r>
      <w:r w:rsidR="005807BC">
        <w:t>du</w:t>
      </w:r>
      <w:r w:rsidR="00971E34">
        <w:t xml:space="preserve"> discours du gouvernement de Correa (Vaillancourt, 2011, 2012, 2013 et 2014). </w:t>
      </w:r>
      <w:r>
        <w:t>Mais nous avons omis de souligner</w:t>
      </w:r>
      <w:r w:rsidR="008D1A1A">
        <w:t>,</w:t>
      </w:r>
      <w:r>
        <w:t xml:space="preserve"> comme nous le </w:t>
      </w:r>
      <w:r w:rsidR="00E462BA">
        <w:t>faiso</w:t>
      </w:r>
      <w:r>
        <w:t>ns ici</w:t>
      </w:r>
      <w:r w:rsidR="005807BC">
        <w:t xml:space="preserve">, que la co-construction démocratique n’est pas seulement un thème </w:t>
      </w:r>
      <w:r>
        <w:t>présent dans la Constitution de 2008</w:t>
      </w:r>
      <w:r w:rsidR="005807BC">
        <w:t xml:space="preserve"> </w:t>
      </w:r>
      <w:r>
        <w:t>en Équateur</w:t>
      </w:r>
      <w:r w:rsidR="005807BC">
        <w:t xml:space="preserve">, mais qu’elle est </w:t>
      </w:r>
      <w:r w:rsidR="00B50D92">
        <w:t xml:space="preserve">aussi </w:t>
      </w:r>
      <w:r w:rsidR="005807BC">
        <w:t>une dimension</w:t>
      </w:r>
      <w:r w:rsidR="009768D3">
        <w:t xml:space="preserve"> présente dans le</w:t>
      </w:r>
      <w:r w:rsidR="005807BC">
        <w:t xml:space="preserve"> processus concret d’assemblé</w:t>
      </w:r>
      <w:r w:rsidR="00E462BA">
        <w:t>e</w:t>
      </w:r>
      <w:r w:rsidR="005807BC">
        <w:t xml:space="preserve"> constituante qui a</w:t>
      </w:r>
      <w:r w:rsidR="00E462BA">
        <w:t xml:space="preserve"> accompagné la préparation de cette constitution.</w:t>
      </w:r>
      <w:r w:rsidR="005807BC">
        <w:t xml:space="preserve"> </w:t>
      </w:r>
      <w:r w:rsidR="00E462BA">
        <w:t>Ce constat vaut</w:t>
      </w:r>
      <w:r w:rsidR="00074E8D">
        <w:t xml:space="preserve"> aussi </w:t>
      </w:r>
      <w:r w:rsidR="00E462BA">
        <w:t>pour le Venezuela et la</w:t>
      </w:r>
      <w:r w:rsidR="00074E8D">
        <w:t xml:space="preserve"> Bolivie</w:t>
      </w:r>
      <w:r w:rsidR="005807BC">
        <w:t xml:space="preserve">. </w:t>
      </w:r>
      <w:r w:rsidR="00E462BA">
        <w:t xml:space="preserve">En somme, </w:t>
      </w:r>
      <w:r w:rsidR="00B178B8">
        <w:t>dans les trois</w:t>
      </w:r>
      <w:r w:rsidR="00E462BA">
        <w:t xml:space="preserve"> pays, nous pouvons parler de nouvelles constitutions qui ont été co-construites</w:t>
      </w:r>
      <w:r w:rsidR="00095E7E">
        <w:t xml:space="preserve"> démocratiquement</w:t>
      </w:r>
      <w:r w:rsidR="00E462BA">
        <w:t xml:space="preserve"> à partir d’assemblée</w:t>
      </w:r>
      <w:r w:rsidR="00095E7E">
        <w:t>s</w:t>
      </w:r>
      <w:r w:rsidR="00E462BA">
        <w:t xml:space="preserve"> constituantes</w:t>
      </w:r>
      <w:r w:rsidR="00095E7E">
        <w:t xml:space="preserve"> qui ont misé sur une coopération entre des acteurs provenant de la société politique</w:t>
      </w:r>
      <w:r w:rsidR="00586B46">
        <w:t xml:space="preserve"> (impliquant l’exécutif et le législatif)</w:t>
      </w:r>
      <w:r w:rsidR="00095E7E">
        <w:t xml:space="preserve"> et de la société civile</w:t>
      </w:r>
      <w:r w:rsidR="00586B46">
        <w:t xml:space="preserve"> (incluant les acteurs de l’ESS)</w:t>
      </w:r>
      <w:r w:rsidR="00095E7E">
        <w:t xml:space="preserve">. </w:t>
      </w:r>
      <w:r w:rsidR="009C1BD9">
        <w:t>En effet, c</w:t>
      </w:r>
      <w:r w:rsidR="000A3F52">
        <w:t>es</w:t>
      </w:r>
      <w:r w:rsidR="00566607">
        <w:t xml:space="preserve"> </w:t>
      </w:r>
      <w:r w:rsidR="000A3F52">
        <w:t>assemblées constituantes</w:t>
      </w:r>
      <w:r w:rsidR="009C1BD9">
        <w:t xml:space="preserve"> </w:t>
      </w:r>
      <w:r w:rsidR="00566607">
        <w:t>reposaient</w:t>
      </w:r>
      <w:r w:rsidR="009C1BD9">
        <w:t xml:space="preserve"> sur la jonction </w:t>
      </w:r>
      <w:r w:rsidR="00566607">
        <w:t xml:space="preserve">entre le social et le politique. </w:t>
      </w:r>
      <w:r w:rsidR="00B50D92">
        <w:t>Pour illustrer cette affirmation, nous allons</w:t>
      </w:r>
      <w:r w:rsidR="00111D89">
        <w:t xml:space="preserve"> </w:t>
      </w:r>
      <w:r w:rsidR="00B178B8">
        <w:t>nous référer rapidement au</w:t>
      </w:r>
      <w:r w:rsidR="006653B4">
        <w:t xml:space="preserve"> </w:t>
      </w:r>
      <w:r w:rsidR="00CE1FC7">
        <w:t>cas</w:t>
      </w:r>
      <w:r w:rsidR="006653B4">
        <w:t xml:space="preserve"> du Venezuela</w:t>
      </w:r>
      <w:r w:rsidR="00B178B8">
        <w:t>, puis n</w:t>
      </w:r>
      <w:r w:rsidR="00A028E6">
        <w:t>ous attarder davantage sur ceux</w:t>
      </w:r>
      <w:r w:rsidR="00B178B8">
        <w:t xml:space="preserve"> </w:t>
      </w:r>
      <w:r w:rsidR="00B50D92">
        <w:t>de la Bolivie</w:t>
      </w:r>
      <w:r w:rsidR="00A028E6">
        <w:t xml:space="preserve"> et</w:t>
      </w:r>
      <w:r w:rsidR="00640A0E">
        <w:t xml:space="preserve"> de l’Équateur</w:t>
      </w:r>
      <w:r w:rsidR="00B50D92">
        <w:t>.</w:t>
      </w:r>
    </w:p>
    <w:p w14:paraId="6D116EBB" w14:textId="77777777" w:rsidR="000A3F52" w:rsidRDefault="000A3F52" w:rsidP="000A3F52"/>
    <w:p w14:paraId="50D1EFFF" w14:textId="77777777" w:rsidR="00AD5315" w:rsidRDefault="00F846E1" w:rsidP="00B64FCB">
      <w:pPr>
        <w:pStyle w:val="Paragraphedeliste"/>
        <w:numPr>
          <w:ilvl w:val="0"/>
          <w:numId w:val="36"/>
        </w:numPr>
      </w:pPr>
      <w:r>
        <w:t>Au</w:t>
      </w:r>
      <w:r w:rsidR="006653B4" w:rsidRPr="00111D89">
        <w:t xml:space="preserve"> Venezuela</w:t>
      </w:r>
      <w:r>
        <w:t xml:space="preserve">, </w:t>
      </w:r>
      <w:r w:rsidR="00640A0E">
        <w:t xml:space="preserve">à la </w:t>
      </w:r>
      <w:r w:rsidR="006B4D70">
        <w:t>suite de l’élection du</w:t>
      </w:r>
      <w:r w:rsidR="00582260">
        <w:t xml:space="preserve"> président </w:t>
      </w:r>
      <w:r w:rsidR="00640A0E">
        <w:t>Hugo Chavez</w:t>
      </w:r>
      <w:r w:rsidR="00582260">
        <w:t>,</w:t>
      </w:r>
      <w:r w:rsidR="00640A0E">
        <w:t xml:space="preserve"> en </w:t>
      </w:r>
      <w:r w:rsidR="00582260">
        <w:t>décembre 1998</w:t>
      </w:r>
      <w:r w:rsidR="00640A0E">
        <w:t xml:space="preserve">, </w:t>
      </w:r>
      <w:r w:rsidR="00582260">
        <w:t>le gouvernement s’empressa</w:t>
      </w:r>
      <w:r w:rsidR="00EF3D7D">
        <w:t>,</w:t>
      </w:r>
      <w:r w:rsidR="00582260">
        <w:t xml:space="preserve"> dès février 1999</w:t>
      </w:r>
      <w:r w:rsidR="00EF3D7D">
        <w:t>,</w:t>
      </w:r>
      <w:r w:rsidR="00582260">
        <w:t xml:space="preserve"> d’adopter un décret concernant la tenue d’un référendum permettant à la population de se prononcer sur la convocation d’une </w:t>
      </w:r>
      <w:hyperlink r:id="rId9" w:tooltip="Assemblée constituante" w:history="1">
        <w:r w:rsidR="00582260">
          <w:t>A</w:t>
        </w:r>
        <w:r w:rsidR="006653B4" w:rsidRPr="00111D89">
          <w:t>ssemblée constituante</w:t>
        </w:r>
      </w:hyperlink>
      <w:r w:rsidR="00EF3D7D">
        <w:t>. Le référendum a eu</w:t>
      </w:r>
      <w:r w:rsidR="00582260">
        <w:t xml:space="preserve"> lieu le 25 avril</w:t>
      </w:r>
      <w:r w:rsidR="00550CAE">
        <w:t xml:space="preserve"> 1999</w:t>
      </w:r>
      <w:r w:rsidR="00582260">
        <w:t>, avec une participation de 38,7%  et un appui de 81,9% des vo</w:t>
      </w:r>
      <w:r w:rsidR="00550CAE">
        <w:t>tants à la</w:t>
      </w:r>
      <w:r w:rsidR="00437FD3">
        <w:t xml:space="preserve"> position du OUI. Le 25 juillet</w:t>
      </w:r>
      <w:r w:rsidR="00550CAE">
        <w:t xml:space="preserve">, </w:t>
      </w:r>
      <w:r w:rsidR="00582260">
        <w:t xml:space="preserve">il y </w:t>
      </w:r>
      <w:r w:rsidR="00EF3D7D">
        <w:t>a eu</w:t>
      </w:r>
      <w:r w:rsidR="00582260">
        <w:t xml:space="preserve"> des élections</w:t>
      </w:r>
      <w:r w:rsidR="00550CAE">
        <w:t xml:space="preserve"> </w:t>
      </w:r>
      <w:r w:rsidR="00582260">
        <w:t>pour choisir les 131 membres de l’Assemblée constituante</w:t>
      </w:r>
      <w:r w:rsidR="00550CAE">
        <w:t xml:space="preserve">. La majorité des constituants  était favorable aux positions du gouvernement. </w:t>
      </w:r>
      <w:r>
        <w:t>P</w:t>
      </w:r>
      <w:r w:rsidR="00AA358B">
        <w:t>ar la suite, d</w:t>
      </w:r>
      <w:r w:rsidR="00550CAE">
        <w:t xml:space="preserve">e septembre </w:t>
      </w:r>
      <w:r w:rsidR="003E7E5B" w:rsidRPr="006347FA">
        <w:t>à</w:t>
      </w:r>
      <w:r w:rsidR="00550CAE" w:rsidRPr="006347FA">
        <w:t xml:space="preserve"> décembre</w:t>
      </w:r>
      <w:r w:rsidR="00550CAE">
        <w:t xml:space="preserve">, les travaux pour rédiger la nouvelle constitution ont été menés intensément et rondement. </w:t>
      </w:r>
      <w:r>
        <w:t xml:space="preserve"> </w:t>
      </w:r>
      <w:r w:rsidR="00C51E58">
        <w:t>De tel</w:t>
      </w:r>
      <w:r w:rsidR="00EF3D7D">
        <w:t>le</w:t>
      </w:r>
      <w:r w:rsidR="00C51E58">
        <w:t xml:space="preserve"> sorte que</w:t>
      </w:r>
      <w:r w:rsidR="00EF3D7D">
        <w:t>,</w:t>
      </w:r>
      <w:r w:rsidR="00C51E58">
        <w:t xml:space="preserve"> dès le 15 décembre 1999, le fruit du travail de l’Assemblée a été soumis</w:t>
      </w:r>
      <w:r w:rsidR="006653B4" w:rsidRPr="00111D89">
        <w:t xml:space="preserve"> à un </w:t>
      </w:r>
      <w:hyperlink r:id="rId10" w:tooltip="Référendum" w:history="1">
        <w:r w:rsidR="006653B4" w:rsidRPr="00111D89">
          <w:t>référendum</w:t>
        </w:r>
      </w:hyperlink>
      <w:r w:rsidR="006653B4" w:rsidRPr="00111D89">
        <w:t xml:space="preserve"> populaire</w:t>
      </w:r>
      <w:r w:rsidR="00C51E58">
        <w:t>. Le taux de participation fut de 44,3% et 71,8% des personnes votantes appuyèrent la « Constitution de la république bolivarienne du Venezuela », la 26</w:t>
      </w:r>
      <w:r w:rsidR="00C51E58" w:rsidRPr="00C51E58">
        <w:rPr>
          <w:vertAlign w:val="superscript"/>
        </w:rPr>
        <w:t>e</w:t>
      </w:r>
      <w:r w:rsidR="00C51E58">
        <w:t xml:space="preserve"> dans l’histoire du pays </w:t>
      </w:r>
      <w:r w:rsidR="006653B4" w:rsidRPr="00111D89">
        <w:t>(Venezuela, 1999</w:t>
      </w:r>
      <w:r w:rsidR="00377483">
        <w:t>; Constitutionnet, 2014</w:t>
      </w:r>
      <w:r w:rsidR="006653B4" w:rsidRPr="00111D89">
        <w:t>).</w:t>
      </w:r>
    </w:p>
    <w:p w14:paraId="20F0F16A" w14:textId="77777777" w:rsidR="006B4D70" w:rsidRDefault="006B4D70" w:rsidP="006B4D70"/>
    <w:p w14:paraId="566A38F0" w14:textId="77777777" w:rsidR="00640A0E" w:rsidRPr="00B90F66" w:rsidRDefault="006B4D70" w:rsidP="00B90F66">
      <w:pPr>
        <w:pStyle w:val="Paragraphedeliste"/>
        <w:numPr>
          <w:ilvl w:val="0"/>
          <w:numId w:val="36"/>
        </w:numPr>
      </w:pPr>
      <w:r>
        <w:t xml:space="preserve">En Bolivie, </w:t>
      </w:r>
      <w:r w:rsidR="003A536C">
        <w:t>aux élections présidentielles de décembre 2005, Evo Morales</w:t>
      </w:r>
      <w:r>
        <w:t xml:space="preserve"> du </w:t>
      </w:r>
      <w:r w:rsidRPr="006B4D70">
        <w:rPr>
          <w:i/>
        </w:rPr>
        <w:t xml:space="preserve">Movimiento al Socialismo </w:t>
      </w:r>
      <w:r w:rsidR="00B90F66">
        <w:t>(MAS</w:t>
      </w:r>
      <w:r w:rsidR="003A536C">
        <w:t>) est élu président</w:t>
      </w:r>
      <w:r w:rsidR="00B11399">
        <w:t xml:space="preserve"> avec une </w:t>
      </w:r>
      <w:r w:rsidR="00DC6B62" w:rsidRPr="00DC6B62">
        <w:t xml:space="preserve">majorité de 54 </w:t>
      </w:r>
      <w:r w:rsidR="00B11399" w:rsidRPr="00DC6B62">
        <w:t>%</w:t>
      </w:r>
      <w:r w:rsidR="003A536C" w:rsidRPr="00DC6B62">
        <w:t>.</w:t>
      </w:r>
      <w:r w:rsidR="003A536C">
        <w:t xml:space="preserve"> Le gouvernement de Morales exerce le pouvoir à partir de janvier 2006 et </w:t>
      </w:r>
      <w:r w:rsidR="00B90F66">
        <w:t>l’Assemblée constituante</w:t>
      </w:r>
      <w:r w:rsidR="003A536C">
        <w:t xml:space="preserve">, promise en campagne électorale, représente une priorité. </w:t>
      </w:r>
      <w:r w:rsidR="00B90F66">
        <w:t xml:space="preserve"> </w:t>
      </w:r>
      <w:r w:rsidR="003A536C">
        <w:t>L</w:t>
      </w:r>
      <w:r w:rsidR="007F0605">
        <w:t>e 6 mars 2006</w:t>
      </w:r>
      <w:r w:rsidR="003A536C">
        <w:t xml:space="preserve">, </w:t>
      </w:r>
      <w:r w:rsidR="007F0605">
        <w:t xml:space="preserve"> </w:t>
      </w:r>
      <w:r w:rsidR="003A536C">
        <w:t>il adopte une</w:t>
      </w:r>
      <w:r w:rsidR="007F0605">
        <w:t xml:space="preserve"> </w:t>
      </w:r>
      <w:r w:rsidR="007F0605">
        <w:rPr>
          <w:i/>
        </w:rPr>
        <w:t>Loi spéciale de convocation de l’Assemblée Constituante (LECAC)</w:t>
      </w:r>
      <w:r w:rsidR="003A536C">
        <w:t xml:space="preserve">, une loi qui a été négociée avec les partis d’opposition par le Vice-président Alvaro Garcia Linera. </w:t>
      </w:r>
      <w:r w:rsidR="00FE22D8">
        <w:t>Dans cette loi, il est spécifié qu’une majorité des deux tiers est requise pour que l’Assemblée constituante puisse adopter un amendement constitutionnel. Cela veut dire un minimum de 170 votes sur 255 membres votant de l’Assemblée constituante. L</w:t>
      </w:r>
      <w:r w:rsidR="00567297">
        <w:t>e 6</w:t>
      </w:r>
      <w:r w:rsidR="00640A0E" w:rsidRPr="00B90F66">
        <w:t xml:space="preserve"> </w:t>
      </w:r>
      <w:r w:rsidR="005A4E83">
        <w:t>juillet</w:t>
      </w:r>
      <w:r w:rsidR="00640A0E" w:rsidRPr="00B90F66">
        <w:t xml:space="preserve"> 2006</w:t>
      </w:r>
      <w:r w:rsidR="00FE22D8">
        <w:t>, un plébiscite est tenu en même temps qu’a lieu l’élection des 250 membres de l’Assemblée constituante</w:t>
      </w:r>
      <w:r w:rsidR="00FD55F8">
        <w:rPr>
          <w:rStyle w:val="Marquenotebasdepage"/>
        </w:rPr>
        <w:footnoteReference w:id="30"/>
      </w:r>
      <w:r w:rsidR="005A4E83">
        <w:t xml:space="preserve">. </w:t>
      </w:r>
      <w:r w:rsidR="00FE22D8">
        <w:t xml:space="preserve">Le </w:t>
      </w:r>
      <w:r w:rsidR="005A4E83">
        <w:t xml:space="preserve"> MAS</w:t>
      </w:r>
      <w:r w:rsidR="00567297">
        <w:t xml:space="preserve"> </w:t>
      </w:r>
      <w:r w:rsidR="00FE22D8">
        <w:t>fait élire</w:t>
      </w:r>
      <w:r w:rsidR="007F0605">
        <w:t xml:space="preserve"> </w:t>
      </w:r>
      <w:r w:rsidR="00567297">
        <w:t xml:space="preserve">134 </w:t>
      </w:r>
      <w:r w:rsidR="007F0605">
        <w:t>« </w:t>
      </w:r>
      <w:r w:rsidR="00567297">
        <w:t>constituants</w:t>
      </w:r>
      <w:r w:rsidR="007F0605">
        <w:t> »</w:t>
      </w:r>
      <w:r w:rsidR="00FE22D8">
        <w:t xml:space="preserve"> sur 255, ce qui représente une majorité, mais pas une majorité des deux tiers. En conséquence, </w:t>
      </w:r>
      <w:r w:rsidR="00FE22D8">
        <w:lastRenderedPageBreak/>
        <w:t>l</w:t>
      </w:r>
      <w:r w:rsidR="007F0605">
        <w:t>’opposition détenait un véritable droit de véto. D’où</w:t>
      </w:r>
      <w:r w:rsidR="005A4E83">
        <w:t xml:space="preserve"> </w:t>
      </w:r>
      <w:r w:rsidR="00CC49B1">
        <w:t xml:space="preserve">l’aspect laborieux </w:t>
      </w:r>
      <w:r w:rsidR="00FD55F8">
        <w:t>des délibérations</w:t>
      </w:r>
      <w:r w:rsidR="005A4E83">
        <w:t xml:space="preserve"> et les </w:t>
      </w:r>
      <w:r w:rsidR="00CF5797">
        <w:t xml:space="preserve">impasses </w:t>
      </w:r>
      <w:r w:rsidR="00CC49B1">
        <w:t>vécues à divers moments</w:t>
      </w:r>
      <w:r w:rsidR="00CF5797">
        <w:t xml:space="preserve"> du processus.</w:t>
      </w:r>
      <w:r w:rsidR="00FD55F8">
        <w:t xml:space="preserve"> </w:t>
      </w:r>
      <w:r w:rsidR="005E3942">
        <w:t>Le 7 décembre 2007, l’Assemblée constituante a terminé ses travaux et appuie un projet de constitution qui est transmis au Congrès pour approbation</w:t>
      </w:r>
      <w:r w:rsidR="00640A0E" w:rsidRPr="006B4D70">
        <w:t xml:space="preserve">.  </w:t>
      </w:r>
      <w:r w:rsidR="005E3942">
        <w:t>Au cours des mois qui suivent, les résistances de l’opposition au Congrès mettent à nouveau en péril l’adoption du projet de constitution. Pour dénouer l’impasse, le gouvernement du MAS annonce la tenue d’un référendum révocatoire d</w:t>
      </w:r>
      <w:r w:rsidR="00110FEE">
        <w:t>evant être tenu</w:t>
      </w:r>
      <w:r w:rsidR="00446D9C">
        <w:t xml:space="preserve"> le 10 août 2008. Dans ce référendum, </w:t>
      </w:r>
      <w:r w:rsidR="00110FEE">
        <w:t>la tête de Morales est mise en jeu, de même q</w:t>
      </w:r>
      <w:r w:rsidR="005A1A71">
        <w:t xml:space="preserve">ue celle du Vice-président </w:t>
      </w:r>
      <w:r w:rsidR="005A1A71" w:rsidRPr="00E27656">
        <w:t>Garcí</w:t>
      </w:r>
      <w:r w:rsidR="00110FEE" w:rsidRPr="00E27656">
        <w:t>a</w:t>
      </w:r>
      <w:r w:rsidR="00BE371E">
        <w:t xml:space="preserve"> Linera</w:t>
      </w:r>
      <w:r w:rsidR="005E3942">
        <w:t xml:space="preserve">. </w:t>
      </w:r>
      <w:r w:rsidR="00640A0E" w:rsidRPr="006B4D70">
        <w:t xml:space="preserve"> </w:t>
      </w:r>
      <w:r w:rsidR="005E3942">
        <w:t xml:space="preserve">Le référendum est gagné par le gouvernement </w:t>
      </w:r>
      <w:r w:rsidR="00110FEE">
        <w:t>du Morales a</w:t>
      </w:r>
      <w:r w:rsidR="00B11399">
        <w:t>vec une nette majorité de 67.5%.  C</w:t>
      </w:r>
      <w:r w:rsidR="00110FEE">
        <w:t>ette victoire</w:t>
      </w:r>
      <w:r w:rsidR="00B11399">
        <w:t xml:space="preserve"> </w:t>
      </w:r>
      <w:r w:rsidR="00B11399" w:rsidRPr="006347FA">
        <w:t>éclatante</w:t>
      </w:r>
      <w:r w:rsidR="00110FEE" w:rsidRPr="006347FA">
        <w:t xml:space="preserve"> </w:t>
      </w:r>
      <w:r w:rsidR="003E7E5B" w:rsidRPr="006347FA">
        <w:t xml:space="preserve">crée </w:t>
      </w:r>
      <w:r w:rsidR="00110FEE" w:rsidRPr="006347FA">
        <w:t>une</w:t>
      </w:r>
      <w:r w:rsidR="00110FEE">
        <w:t xml:space="preserve"> pression politique sur le Congrès national</w:t>
      </w:r>
      <w:r w:rsidR="00B11399">
        <w:t xml:space="preserve"> afin qu’il appuie la nouve</w:t>
      </w:r>
      <w:r w:rsidR="00BE371E">
        <w:t>lle c</w:t>
      </w:r>
      <w:r w:rsidR="00B11399">
        <w:t>onstitution</w:t>
      </w:r>
      <w:r w:rsidR="005E3942">
        <w:t xml:space="preserve">. </w:t>
      </w:r>
      <w:r w:rsidR="00B11399">
        <w:t>L</w:t>
      </w:r>
      <w:r w:rsidR="00640A0E" w:rsidRPr="006B4D70">
        <w:t>e 21 octobre 2008</w:t>
      </w:r>
      <w:r w:rsidR="00110FEE">
        <w:t xml:space="preserve">, </w:t>
      </w:r>
      <w:r w:rsidR="00B11399">
        <w:t xml:space="preserve">le Congrès adopte </w:t>
      </w:r>
      <w:r w:rsidR="00110FEE">
        <w:t>une version légèrement modifiée</w:t>
      </w:r>
      <w:r w:rsidR="00640A0E" w:rsidRPr="006B4D70">
        <w:t xml:space="preserve">. </w:t>
      </w:r>
      <w:r w:rsidR="00110FEE">
        <w:t>Cette version</w:t>
      </w:r>
      <w:r w:rsidR="00640A0E" w:rsidRPr="006B4D70">
        <w:t xml:space="preserve"> </w:t>
      </w:r>
      <w:r w:rsidR="00110FEE">
        <w:t>est</w:t>
      </w:r>
      <w:r w:rsidR="00640A0E" w:rsidRPr="006B4D70">
        <w:t xml:space="preserve"> soumis</w:t>
      </w:r>
      <w:r w:rsidR="00B90F66">
        <w:t>e</w:t>
      </w:r>
      <w:r w:rsidR="00640A0E" w:rsidRPr="006B4D70">
        <w:t xml:space="preserve"> à un référendum national</w:t>
      </w:r>
      <w:r w:rsidR="00504B40" w:rsidRPr="006B4D70">
        <w:t>,</w:t>
      </w:r>
      <w:r w:rsidR="00640A0E" w:rsidRPr="006B4D70">
        <w:t xml:space="preserve"> le 25 janvier 2009</w:t>
      </w:r>
      <w:r w:rsidR="00504B40" w:rsidRPr="006B4D70">
        <w:t>,</w:t>
      </w:r>
      <w:r w:rsidR="00640A0E" w:rsidRPr="006B4D70">
        <w:t xml:space="preserve"> et</w:t>
      </w:r>
      <w:r w:rsidR="00B90F66">
        <w:t xml:space="preserve"> </w:t>
      </w:r>
      <w:r w:rsidR="00110FEE">
        <w:t>obtient l’approbation populaire</w:t>
      </w:r>
      <w:r w:rsidR="00640A0E" w:rsidRPr="006B4D70">
        <w:t xml:space="preserve"> avec une majorité de 60% (</w:t>
      </w:r>
      <w:r w:rsidR="00CC49B1">
        <w:t xml:space="preserve">Stefanoni et Do Alto, 2006; Stefanoni, 2009; </w:t>
      </w:r>
      <w:r w:rsidR="003E3A1B">
        <w:t xml:space="preserve">Mayorga, 2014; </w:t>
      </w:r>
      <w:r w:rsidR="002577CA">
        <w:t>Bolivie, 2009</w:t>
      </w:r>
      <w:r w:rsidR="00640A0E" w:rsidRPr="006B4D70">
        <w:t>).</w:t>
      </w:r>
    </w:p>
    <w:p w14:paraId="44172954" w14:textId="77777777" w:rsidR="00B64FCB" w:rsidRDefault="00B64FCB" w:rsidP="00B64FCB"/>
    <w:p w14:paraId="479942B3" w14:textId="77777777" w:rsidR="000A3F52" w:rsidRDefault="00566607" w:rsidP="00AB33AA">
      <w:pPr>
        <w:pStyle w:val="Paragraphedeliste"/>
        <w:numPr>
          <w:ilvl w:val="0"/>
          <w:numId w:val="36"/>
        </w:numPr>
      </w:pPr>
      <w:r>
        <w:t>E</w:t>
      </w:r>
      <w:r w:rsidRPr="00566607">
        <w:t>n Équateur</w:t>
      </w:r>
      <w:r>
        <w:t>, l</w:t>
      </w:r>
      <w:r w:rsidR="00446D9C">
        <w:t>’A</w:t>
      </w:r>
      <w:r w:rsidRPr="00566607">
        <w:t>ssemblée c</w:t>
      </w:r>
      <w:r w:rsidR="000A3F52" w:rsidRPr="00566607">
        <w:t xml:space="preserve">onstituante </w:t>
      </w:r>
      <w:r>
        <w:t>a eu lieu</w:t>
      </w:r>
      <w:r w:rsidRPr="00566607">
        <w:t xml:space="preserve"> </w:t>
      </w:r>
      <w:r>
        <w:t>en 2007 et 2008, sous le gouvernement de Rafael Correa.</w:t>
      </w:r>
      <w:r w:rsidR="00B93A66">
        <w:t xml:space="preserve"> </w:t>
      </w:r>
      <w:r w:rsidR="00345802">
        <w:t>Ce dernier s’était</w:t>
      </w:r>
      <w:r w:rsidR="00B93A66">
        <w:t xml:space="preserve"> lancé à la présidence</w:t>
      </w:r>
      <w:r w:rsidR="00345802">
        <w:t>, à l’automne 2006,</w:t>
      </w:r>
      <w:r w:rsidR="00B93A66">
        <w:t xml:space="preserve"> sans </w:t>
      </w:r>
      <w:r>
        <w:t>présenter</w:t>
      </w:r>
      <w:r w:rsidR="00345802">
        <w:t xml:space="preserve"> en même temps des candidats de sa tendance politique à faire élire au Congrès</w:t>
      </w:r>
      <w:r w:rsidR="00A542A0">
        <w:rPr>
          <w:rStyle w:val="Marquenotebasdepage"/>
        </w:rPr>
        <w:footnoteReference w:id="31"/>
      </w:r>
      <w:r w:rsidR="00345802">
        <w:t>.  Au contraire, pendant la campagne électorale, Correa avait utilisé le thème de la « partidocratie » pour</w:t>
      </w:r>
      <w:r w:rsidR="00F846E1">
        <w:t xml:space="preserve"> se faire du capital politique. Ce qui l’avait amené à</w:t>
      </w:r>
      <w:r w:rsidR="00345802">
        <w:t xml:space="preserve"> discréditer le rôle des députés des </w:t>
      </w:r>
      <w:r w:rsidR="00F846E1">
        <w:t>formations</w:t>
      </w:r>
      <w:r w:rsidR="00345802">
        <w:t xml:space="preserve"> politiques de ses opposants et</w:t>
      </w:r>
      <w:r w:rsidR="00F846E1">
        <w:t xml:space="preserve"> à</w:t>
      </w:r>
      <w:r w:rsidR="00345802">
        <w:t xml:space="preserve"> délégitimer le Congrès</w:t>
      </w:r>
      <w:r w:rsidR="00B93A66">
        <w:t xml:space="preserve">. </w:t>
      </w:r>
      <w:r w:rsidR="00F846E1">
        <w:t>Ainsi, u</w:t>
      </w:r>
      <w:r w:rsidR="00676567">
        <w:t>ne</w:t>
      </w:r>
      <w:r>
        <w:t xml:space="preserve"> fois élu président, </w:t>
      </w:r>
      <w:r w:rsidR="00676567">
        <w:t xml:space="preserve">en janvier 2006, </w:t>
      </w:r>
      <w:r>
        <w:t xml:space="preserve">Correa détenait le pouvoir exécutif, mais </w:t>
      </w:r>
      <w:r w:rsidR="00676567">
        <w:t xml:space="preserve">sans avoir </w:t>
      </w:r>
      <w:r>
        <w:t>le</w:t>
      </w:r>
      <w:r w:rsidR="0085623A">
        <w:t xml:space="preserve"> pouvoir législatif, puisqu’il était</w:t>
      </w:r>
      <w:r w:rsidR="007B45F4">
        <w:t xml:space="preserve"> arriv</w:t>
      </w:r>
      <w:r w:rsidR="0085623A">
        <w:t>é à la présidence sans députés</w:t>
      </w:r>
      <w:r w:rsidR="007B45F4">
        <w:t xml:space="preserve">. </w:t>
      </w:r>
      <w:r w:rsidR="00676567">
        <w:t>Cette sit</w:t>
      </w:r>
      <w:r w:rsidR="007B45F4">
        <w:t>uation ne pouvait pas durer, si Correa</w:t>
      </w:r>
      <w:r w:rsidR="00676567">
        <w:t xml:space="preserve"> voulait faire adopter des lois et des politiques pour mettre en œuvre </w:t>
      </w:r>
      <w:r w:rsidR="00446D9C">
        <w:t>ses engagements électoraux</w:t>
      </w:r>
      <w:r w:rsidR="00676567">
        <w:t xml:space="preserve">. </w:t>
      </w:r>
      <w:r w:rsidR="0085623A">
        <w:t>D’où sa détermination</w:t>
      </w:r>
      <w:r w:rsidR="00446D9C">
        <w:t>, au lendemain de l’</w:t>
      </w:r>
      <w:r w:rsidR="00676567">
        <w:t xml:space="preserve">élection, </w:t>
      </w:r>
      <w:r w:rsidR="0085623A">
        <w:t>à</w:t>
      </w:r>
      <w:r w:rsidR="00F846E1">
        <w:t xml:space="preserve"> </w:t>
      </w:r>
      <w:r w:rsidR="00F76B9C">
        <w:t>mettre en route</w:t>
      </w:r>
      <w:r w:rsidR="00676567">
        <w:t xml:space="preserve"> une dé</w:t>
      </w:r>
      <w:r w:rsidR="00446D9C">
        <w:t>marche d’assemblée constituante</w:t>
      </w:r>
      <w:r w:rsidR="007B45F4">
        <w:t xml:space="preserve">. </w:t>
      </w:r>
      <w:r w:rsidR="00AD5315">
        <w:t xml:space="preserve">Une fois élu, </w:t>
      </w:r>
      <w:r w:rsidR="007B45F4">
        <w:t xml:space="preserve">il ne pouvait </w:t>
      </w:r>
      <w:r w:rsidR="0085623A">
        <w:t>plus</w:t>
      </w:r>
      <w:r w:rsidR="00F84B1F">
        <w:t xml:space="preserve"> </w:t>
      </w:r>
      <w:r w:rsidR="00F76B9C">
        <w:t>gouverner sans</w:t>
      </w:r>
      <w:r w:rsidR="00F84B1F">
        <w:t xml:space="preserve"> Congrès</w:t>
      </w:r>
      <w:r w:rsidR="0085623A">
        <w:rPr>
          <w:rStyle w:val="Marquenotebasdepage"/>
        </w:rPr>
        <w:footnoteReference w:id="32"/>
      </w:r>
      <w:r w:rsidR="00F84B1F">
        <w:t xml:space="preserve">. </w:t>
      </w:r>
      <w:r w:rsidR="00F76B9C">
        <w:t>Avec son projet d</w:t>
      </w:r>
      <w:r w:rsidR="00AD5315">
        <w:t>’Assemblée constituante</w:t>
      </w:r>
      <w:r w:rsidR="00446D9C">
        <w:t>,</w:t>
      </w:r>
      <w:r w:rsidR="00AD5315">
        <w:t xml:space="preserve"> </w:t>
      </w:r>
      <w:r w:rsidR="00F76B9C">
        <w:t xml:space="preserve">il pouvait s’occuper du législatif, sans pour autant abandonner </w:t>
      </w:r>
      <w:r w:rsidR="00AD5315">
        <w:t xml:space="preserve">le thème de la </w:t>
      </w:r>
      <w:r w:rsidR="003F5572">
        <w:t>« </w:t>
      </w:r>
      <w:r w:rsidR="00AD5315">
        <w:t>partidocratie</w:t>
      </w:r>
      <w:r w:rsidR="003F5572">
        <w:t> »</w:t>
      </w:r>
      <w:r w:rsidR="00AD5315">
        <w:t xml:space="preserve"> </w:t>
      </w:r>
      <w:r w:rsidR="00F76B9C">
        <w:t xml:space="preserve">à la manière d’un levier pour </w:t>
      </w:r>
      <w:r w:rsidR="00AD5315">
        <w:t xml:space="preserve">délégitimer les autres partis politiques </w:t>
      </w:r>
      <w:r w:rsidR="00F84B1F">
        <w:t xml:space="preserve">et </w:t>
      </w:r>
      <w:r w:rsidR="00AB33AA">
        <w:t xml:space="preserve">assurer une légitimité à </w:t>
      </w:r>
      <w:r w:rsidR="007D0EF8">
        <w:rPr>
          <w:i/>
        </w:rPr>
        <w:t>Alianza</w:t>
      </w:r>
      <w:r w:rsidR="005A1A71">
        <w:rPr>
          <w:i/>
        </w:rPr>
        <w:t xml:space="preserve"> </w:t>
      </w:r>
      <w:r w:rsidR="005A1A71" w:rsidRPr="00E27656">
        <w:rPr>
          <w:i/>
        </w:rPr>
        <w:t>Paí</w:t>
      </w:r>
      <w:r w:rsidR="007B415B" w:rsidRPr="00E27656">
        <w:rPr>
          <w:i/>
        </w:rPr>
        <w:t>s</w:t>
      </w:r>
      <w:r w:rsidR="007B415B">
        <w:rPr>
          <w:i/>
        </w:rPr>
        <w:t>,</w:t>
      </w:r>
      <w:r w:rsidR="00AD5315">
        <w:t xml:space="preserve"> </w:t>
      </w:r>
      <w:r w:rsidR="00F76B9C">
        <w:t>en faisant ressortir qu’il s’agissait d’</w:t>
      </w:r>
      <w:r w:rsidR="00AD5315">
        <w:t xml:space="preserve">un mouvement </w:t>
      </w:r>
      <w:r w:rsidR="007B415B">
        <w:t>plutôt que</w:t>
      </w:r>
      <w:r w:rsidR="00F76B9C">
        <w:t xml:space="preserve"> d’</w:t>
      </w:r>
      <w:r w:rsidR="00AD5315">
        <w:t xml:space="preserve">un parti politique. </w:t>
      </w:r>
      <w:r w:rsidR="00B964B3">
        <w:t>Ainsi</w:t>
      </w:r>
      <w:r w:rsidR="00F84B1F">
        <w:t xml:space="preserve">, </w:t>
      </w:r>
      <w:r w:rsidR="00B964B3">
        <w:t xml:space="preserve">dès avril 2007, </w:t>
      </w:r>
      <w:r w:rsidR="00F84B1F">
        <w:t xml:space="preserve">le gouvernement de Correa a </w:t>
      </w:r>
      <w:r w:rsidR="007B415B">
        <w:t>tenu</w:t>
      </w:r>
      <w:r w:rsidR="00F84B1F">
        <w:t xml:space="preserve"> un référendum</w:t>
      </w:r>
      <w:r w:rsidR="007B415B">
        <w:t xml:space="preserve"> </w:t>
      </w:r>
      <w:r w:rsidR="00F84B1F">
        <w:t>pour obtenir un mandat populaire l’autorisant à faire une convocation officielle pour une déma</w:t>
      </w:r>
      <w:r w:rsidR="007B415B">
        <w:t>rche d’Assemblée constituante. C</w:t>
      </w:r>
      <w:r w:rsidR="00F84B1F">
        <w:t>e référendum a été</w:t>
      </w:r>
      <w:r w:rsidR="00954BE3">
        <w:t xml:space="preserve"> </w:t>
      </w:r>
      <w:r w:rsidR="00F84B1F">
        <w:t>gagné</w:t>
      </w:r>
      <w:r w:rsidR="007B415B">
        <w:t xml:space="preserve"> avec </w:t>
      </w:r>
      <w:r w:rsidR="003F5572">
        <w:t>une majorité</w:t>
      </w:r>
      <w:r w:rsidR="007B415B">
        <w:t xml:space="preserve"> de 82% des électeurs</w:t>
      </w:r>
      <w:r w:rsidR="00F84B1F">
        <w:t>. Puis</w:t>
      </w:r>
      <w:r w:rsidR="007B415B">
        <w:t>,</w:t>
      </w:r>
      <w:r w:rsidR="00F84B1F">
        <w:t xml:space="preserve"> des élections ont </w:t>
      </w:r>
      <w:r w:rsidR="00B964B3">
        <w:t>été tenues</w:t>
      </w:r>
      <w:r w:rsidR="00612CB7">
        <w:t xml:space="preserve"> en septembre 2007</w:t>
      </w:r>
      <w:r w:rsidR="003F5572">
        <w:t xml:space="preserve"> pour </w:t>
      </w:r>
      <w:r w:rsidR="00612CB7">
        <w:t xml:space="preserve"> </w:t>
      </w:r>
      <w:r w:rsidR="00ED0351">
        <w:t>choisir l</w:t>
      </w:r>
      <w:r w:rsidR="00B964B3">
        <w:t>es membres de l’A</w:t>
      </w:r>
      <w:r w:rsidR="00F84B1F">
        <w:t>ssemblée constituante</w:t>
      </w:r>
      <w:r w:rsidR="003F5572">
        <w:t>,</w:t>
      </w:r>
      <w:r w:rsidR="00F84B1F">
        <w:t xml:space="preserve"> </w:t>
      </w:r>
      <w:r w:rsidR="003F5572">
        <w:t xml:space="preserve">lesquels </w:t>
      </w:r>
      <w:r w:rsidR="007B415B">
        <w:t xml:space="preserve">allaient </w:t>
      </w:r>
      <w:r w:rsidR="007D0EF8">
        <w:t xml:space="preserve">devenir </w:t>
      </w:r>
      <w:r w:rsidR="003F5572">
        <w:t>du même coup</w:t>
      </w:r>
      <w:r w:rsidR="00B964B3">
        <w:t xml:space="preserve"> les membres de</w:t>
      </w:r>
      <w:r w:rsidR="007D0EF8">
        <w:t xml:space="preserve"> la prochaine </w:t>
      </w:r>
      <w:r w:rsidR="00F84B1F">
        <w:t xml:space="preserve">Assemblée législative. </w:t>
      </w:r>
      <w:r w:rsidR="007B415B">
        <w:t>Lors de cette élection, 80 des 130 membres de l’Assemblée constituante p</w:t>
      </w:r>
      <w:r w:rsidR="007D0EF8">
        <w:t>rovenai</w:t>
      </w:r>
      <w:r w:rsidR="003F5572">
        <w:t>en</w:t>
      </w:r>
      <w:r w:rsidR="007D0EF8">
        <w:t>t d’</w:t>
      </w:r>
      <w:r w:rsidR="007D0EF8">
        <w:rPr>
          <w:i/>
        </w:rPr>
        <w:t>Alianza</w:t>
      </w:r>
      <w:r w:rsidR="005A1A71">
        <w:rPr>
          <w:i/>
        </w:rPr>
        <w:t xml:space="preserve"> </w:t>
      </w:r>
      <w:r w:rsidR="005A1A71" w:rsidRPr="00E27656">
        <w:rPr>
          <w:i/>
        </w:rPr>
        <w:t>Paí</w:t>
      </w:r>
      <w:r w:rsidR="007B415B" w:rsidRPr="00E27656">
        <w:rPr>
          <w:i/>
        </w:rPr>
        <w:t>s</w:t>
      </w:r>
      <w:r w:rsidR="00610812" w:rsidRPr="00E27656">
        <w:t>.</w:t>
      </w:r>
      <w:r w:rsidR="00610812">
        <w:t xml:space="preserve"> </w:t>
      </w:r>
      <w:r w:rsidR="007B415B">
        <w:t xml:space="preserve"> </w:t>
      </w:r>
      <w:r w:rsidR="000A3F52">
        <w:t xml:space="preserve">Puis, </w:t>
      </w:r>
      <w:r w:rsidR="00612CB7">
        <w:t>l’Assemblée nationale constituante a siégé de décembre 2007 à juillet 2008</w:t>
      </w:r>
      <w:r w:rsidR="00B86D93">
        <w:t xml:space="preserve">, sous la présidence de l’économiste </w:t>
      </w:r>
      <w:r w:rsidR="00B86D93">
        <w:lastRenderedPageBreak/>
        <w:t xml:space="preserve">et écologiste </w:t>
      </w:r>
      <w:r w:rsidR="00B964B3">
        <w:t>Alberto Acosta</w:t>
      </w:r>
      <w:r w:rsidR="00B86D93">
        <w:t xml:space="preserve">, un </w:t>
      </w:r>
      <w:r w:rsidR="00B964B3">
        <w:t>ancien ministre des mines lié aux mouvements sociaux, notamment</w:t>
      </w:r>
      <w:r w:rsidR="003F5572">
        <w:t xml:space="preserve"> au mouvement écologique et</w:t>
      </w:r>
      <w:r w:rsidR="00B964B3">
        <w:t xml:space="preserve"> aux réseaux de l’ESS</w:t>
      </w:r>
      <w:r w:rsidR="00612CB7">
        <w:t xml:space="preserve">. </w:t>
      </w:r>
      <w:r w:rsidR="00B964B3">
        <w:t xml:space="preserve">Après 8 mois de délibération publique intense, une </w:t>
      </w:r>
      <w:r w:rsidR="00612CB7">
        <w:t xml:space="preserve">proposition de constitution </w:t>
      </w:r>
      <w:r w:rsidR="00B964B3">
        <w:t xml:space="preserve">a émergé. Cette Constitution </w:t>
      </w:r>
      <w:r w:rsidR="00610812">
        <w:t>a fait l’objet d’un nouveau référendum en octobre et a été ratifié</w:t>
      </w:r>
      <w:r w:rsidR="00612CB7">
        <w:t>e</w:t>
      </w:r>
      <w:r w:rsidR="00610812">
        <w:t xml:space="preserve"> par 64% des électeurs </w:t>
      </w:r>
      <w:r w:rsidR="000A3F52">
        <w:t>(</w:t>
      </w:r>
      <w:r w:rsidR="005A1A71" w:rsidRPr="00E27656">
        <w:t>Leó</w:t>
      </w:r>
      <w:r w:rsidR="00A80655" w:rsidRPr="00E27656">
        <w:t>n</w:t>
      </w:r>
      <w:r w:rsidR="003F5572">
        <w:t xml:space="preserve"> </w:t>
      </w:r>
      <w:r w:rsidR="00AA368D">
        <w:t xml:space="preserve">Trujillo </w:t>
      </w:r>
      <w:r w:rsidR="00A80655" w:rsidRPr="00564EA1">
        <w:t xml:space="preserve">, </w:t>
      </w:r>
      <w:r w:rsidR="00564EA1" w:rsidRPr="00564EA1">
        <w:t>2009</w:t>
      </w:r>
      <w:r w:rsidR="00A80655" w:rsidRPr="00564EA1">
        <w:t>;</w:t>
      </w:r>
      <w:r w:rsidR="00564EA1">
        <w:t xml:space="preserve"> </w:t>
      </w:r>
      <w:r w:rsidR="007B45F4">
        <w:t>El D</w:t>
      </w:r>
      <w:r w:rsidR="00F5201B">
        <w:t>esconc</w:t>
      </w:r>
      <w:r w:rsidR="007B45F4">
        <w:t>ierto, 2013 :68-71</w:t>
      </w:r>
      <w:r w:rsidR="000A3F52">
        <w:t xml:space="preserve">; </w:t>
      </w:r>
      <w:r w:rsidR="000A3F52" w:rsidRPr="00610812">
        <w:t>De La Torre, 2013</w:t>
      </w:r>
      <w:r w:rsidR="0037619D">
        <w:t xml:space="preserve">; </w:t>
      </w:r>
      <w:r w:rsidR="0037619D" w:rsidRPr="00A741E0">
        <w:t>Gaudichaud, 2008, 2012 et 2013</w:t>
      </w:r>
      <w:r w:rsidR="00610812" w:rsidRPr="00A741E0">
        <w:t>).</w:t>
      </w:r>
      <w:r w:rsidR="003A67E9">
        <w:t xml:space="preserve"> </w:t>
      </w:r>
    </w:p>
    <w:p w14:paraId="5DA095EE" w14:textId="77777777" w:rsidR="00971E34" w:rsidRDefault="00971E34" w:rsidP="00ED307D"/>
    <w:p w14:paraId="74A4C18C" w14:textId="77777777" w:rsidR="003F69C0" w:rsidRPr="00620D65" w:rsidRDefault="00620D65" w:rsidP="00620D65">
      <w:pPr>
        <w:pStyle w:val="Titre3"/>
        <w:spacing w:before="240"/>
        <w:rPr>
          <w:color w:val="auto"/>
          <w:sz w:val="28"/>
          <w:szCs w:val="28"/>
        </w:rPr>
      </w:pPr>
      <w:bookmarkStart w:id="18" w:name="_Toc405129034"/>
      <w:r w:rsidRPr="00620D65">
        <w:rPr>
          <w:color w:val="auto"/>
          <w:sz w:val="28"/>
          <w:szCs w:val="28"/>
        </w:rPr>
        <w:t>4.3.3</w:t>
      </w:r>
      <w:r w:rsidR="00646B8A" w:rsidRPr="00620D65">
        <w:rPr>
          <w:color w:val="auto"/>
          <w:sz w:val="28"/>
          <w:szCs w:val="28"/>
        </w:rPr>
        <w:t xml:space="preserve"> L</w:t>
      </w:r>
      <w:r w:rsidR="0025133A" w:rsidRPr="00620D65">
        <w:rPr>
          <w:color w:val="auto"/>
          <w:sz w:val="28"/>
          <w:szCs w:val="28"/>
        </w:rPr>
        <w:t>a polarisation au sein de la gauche</w:t>
      </w:r>
      <w:r w:rsidR="00F0100F" w:rsidRPr="00620D65">
        <w:rPr>
          <w:color w:val="auto"/>
          <w:sz w:val="28"/>
          <w:szCs w:val="28"/>
        </w:rPr>
        <w:t xml:space="preserve"> </w:t>
      </w:r>
      <w:r w:rsidR="0037619D" w:rsidRPr="00620D65">
        <w:rPr>
          <w:color w:val="auto"/>
          <w:sz w:val="28"/>
          <w:szCs w:val="28"/>
        </w:rPr>
        <w:t>freine</w:t>
      </w:r>
      <w:r w:rsidR="003F284A" w:rsidRPr="00620D65">
        <w:rPr>
          <w:color w:val="auto"/>
          <w:sz w:val="28"/>
          <w:szCs w:val="28"/>
        </w:rPr>
        <w:t xml:space="preserve"> l</w:t>
      </w:r>
      <w:r w:rsidR="00491903" w:rsidRPr="00620D65">
        <w:rPr>
          <w:color w:val="auto"/>
          <w:sz w:val="28"/>
          <w:szCs w:val="28"/>
        </w:rPr>
        <w:t>a</w:t>
      </w:r>
      <w:r w:rsidR="00F0100F" w:rsidRPr="00620D65">
        <w:rPr>
          <w:color w:val="auto"/>
          <w:sz w:val="28"/>
          <w:szCs w:val="28"/>
        </w:rPr>
        <w:t xml:space="preserve"> co-construction</w:t>
      </w:r>
      <w:bookmarkEnd w:id="18"/>
      <w:r w:rsidR="00C24896" w:rsidRPr="00620D65">
        <w:rPr>
          <w:color w:val="auto"/>
          <w:sz w:val="28"/>
          <w:szCs w:val="28"/>
        </w:rPr>
        <w:t xml:space="preserve"> </w:t>
      </w:r>
    </w:p>
    <w:p w14:paraId="6FA1FBE3" w14:textId="77777777" w:rsidR="00C24896" w:rsidRDefault="00253265" w:rsidP="00ED307D">
      <w:r>
        <w:t>En nous con</w:t>
      </w:r>
      <w:r w:rsidR="00B51336">
        <w:t xml:space="preserve">centrant sur ce qui se passe </w:t>
      </w:r>
      <w:r>
        <w:t>en Bolivie et en Équateur</w:t>
      </w:r>
      <w:r w:rsidR="00B51336">
        <w:t>,</w:t>
      </w:r>
      <w:r>
        <w:t xml:space="preserve"> au chapitre de la co-construction démocratique, nous avançons qu’il y </w:t>
      </w:r>
      <w:r w:rsidRPr="006347FA">
        <w:t xml:space="preserve">en </w:t>
      </w:r>
      <w:r w:rsidR="003E7E5B" w:rsidRPr="006347FA">
        <w:t xml:space="preserve">a </w:t>
      </w:r>
      <w:r w:rsidRPr="006347FA">
        <w:t>eu</w:t>
      </w:r>
      <w:r>
        <w:t xml:space="preserve"> davantage au cours des années 2007 à 2009</w:t>
      </w:r>
      <w:r w:rsidR="00B51336">
        <w:t>,</w:t>
      </w:r>
      <w:r>
        <w:t xml:space="preserve"> au moment de l’élaboration des nouvelles constitution</w:t>
      </w:r>
      <w:r w:rsidR="00B51336">
        <w:t>s,</w:t>
      </w:r>
      <w:r>
        <w:t xml:space="preserve"> et beaucoup moins </w:t>
      </w:r>
      <w:r w:rsidR="00491903">
        <w:t xml:space="preserve">au cours des années </w:t>
      </w:r>
      <w:r>
        <w:t>2010</w:t>
      </w:r>
      <w:r w:rsidR="00491903">
        <w:t>-2014</w:t>
      </w:r>
      <w:r>
        <w:t xml:space="preserve">. </w:t>
      </w:r>
      <w:r w:rsidR="003E7E5B" w:rsidRPr="006347FA">
        <w:t>La raison en est que depuis</w:t>
      </w:r>
      <w:r w:rsidR="00C24896" w:rsidRPr="006347FA">
        <w:t xml:space="preserve"> 2010</w:t>
      </w:r>
      <w:r w:rsidRPr="006347FA">
        <w:t>, en Bolivie</w:t>
      </w:r>
      <w:r>
        <w:t xml:space="preserve"> et en Équateu</w:t>
      </w:r>
      <w:r w:rsidR="007E514E">
        <w:t>r</w:t>
      </w:r>
      <w:r w:rsidR="00C24896">
        <w:t xml:space="preserve">, à la différence de ce qui </w:t>
      </w:r>
      <w:r>
        <w:t>se passe</w:t>
      </w:r>
      <w:r w:rsidR="00C24896">
        <w:t xml:space="preserve"> au Venezuela, </w:t>
      </w:r>
      <w:r w:rsidR="007E514E">
        <w:t>l’intensification de la</w:t>
      </w:r>
      <w:r w:rsidR="00C24896">
        <w:t xml:space="preserve"> polarisation</w:t>
      </w:r>
      <w:r w:rsidR="007E514E">
        <w:t xml:space="preserve"> sociale ne</w:t>
      </w:r>
      <w:r w:rsidR="00B51336">
        <w:t xml:space="preserve"> </w:t>
      </w:r>
      <w:r w:rsidR="007E514E">
        <w:t>touche</w:t>
      </w:r>
      <w:r w:rsidR="002577CA">
        <w:t xml:space="preserve"> pas</w:t>
      </w:r>
      <w:r w:rsidR="007E514E">
        <w:t xml:space="preserve"> </w:t>
      </w:r>
      <w:r w:rsidR="002577CA">
        <w:t>seu</w:t>
      </w:r>
      <w:r w:rsidR="00B51336">
        <w:t>lement</w:t>
      </w:r>
      <w:r w:rsidR="007E514E">
        <w:t xml:space="preserve"> les rapports entre la droite et la gauche</w:t>
      </w:r>
      <w:r w:rsidR="00491903">
        <w:t xml:space="preserve">.  </w:t>
      </w:r>
      <w:r w:rsidR="003E7E5B" w:rsidRPr="006347FA">
        <w:t>Elle</w:t>
      </w:r>
      <w:r w:rsidR="007E514E" w:rsidRPr="006347FA">
        <w:t xml:space="preserve"> </w:t>
      </w:r>
      <w:r w:rsidR="00E741F5" w:rsidRPr="006347FA">
        <w:t>se</w:t>
      </w:r>
      <w:r w:rsidR="00E741F5">
        <w:t xml:space="preserve"> manifeste</w:t>
      </w:r>
      <w:r w:rsidR="007E514E">
        <w:t xml:space="preserve"> </w:t>
      </w:r>
      <w:r w:rsidR="00C24896">
        <w:t>aussi</w:t>
      </w:r>
      <w:r w:rsidR="00B51336">
        <w:t xml:space="preserve"> </w:t>
      </w:r>
      <w:r w:rsidR="00C24896">
        <w:t>au sein même de la gauche.</w:t>
      </w:r>
      <w:r w:rsidR="00B51336">
        <w:t xml:space="preserve"> </w:t>
      </w:r>
      <w:r w:rsidR="00491903">
        <w:t xml:space="preserve">En </w:t>
      </w:r>
      <w:r w:rsidR="00E741F5">
        <w:t>conséquence</w:t>
      </w:r>
      <w:r w:rsidR="00491903">
        <w:t>,</w:t>
      </w:r>
      <w:r w:rsidR="00B51336">
        <w:t xml:space="preserve"> des divisions et tensions plus vives traversent les relations entre les gauches gouvernementales et une portion significative des gauches actives dans la société civile et les mouvements sociaux</w:t>
      </w:r>
      <w:r w:rsidR="00A46A09">
        <w:t>.</w:t>
      </w:r>
      <w:r w:rsidR="00AF7065">
        <w:t xml:space="preserve"> </w:t>
      </w:r>
      <w:r w:rsidR="00491903">
        <w:t>Plus particulièrement, les</w:t>
      </w:r>
      <w:r w:rsidR="00AF7065">
        <w:t xml:space="preserve"> rapports </w:t>
      </w:r>
      <w:r w:rsidR="00491903">
        <w:t xml:space="preserve">entre l’État et </w:t>
      </w:r>
      <w:r w:rsidR="00AF7065">
        <w:t>les mouvements paysan, indigène et écologique, sont devenus plus conflictue</w:t>
      </w:r>
      <w:r w:rsidR="003C2209">
        <w:t>ls en rapport</w:t>
      </w:r>
      <w:r w:rsidR="00AF7065">
        <w:t xml:space="preserve"> avec certains projets de développement, de transformation et de transport des ressources naturelles </w:t>
      </w:r>
      <w:r w:rsidR="00AF7065">
        <w:rPr>
          <w:rFonts w:ascii="Cambria" w:hAnsi="Cambria"/>
        </w:rPr>
        <w:t>—</w:t>
      </w:r>
      <w:r w:rsidR="00AF7065">
        <w:t>extractivisme</w:t>
      </w:r>
      <w:r w:rsidR="00B92A5F">
        <w:rPr>
          <w:rStyle w:val="Marquenotebasdepage"/>
        </w:rPr>
        <w:footnoteReference w:id="33"/>
      </w:r>
      <w:r w:rsidR="00AF7065">
        <w:rPr>
          <w:rFonts w:ascii="Cambria" w:hAnsi="Cambria"/>
        </w:rPr>
        <w:t>—</w:t>
      </w:r>
      <w:r w:rsidR="00AF7065">
        <w:t xml:space="preserve"> dans les pays des régions andines et amazoniennes</w:t>
      </w:r>
      <w:r w:rsidR="00AF7065">
        <w:rPr>
          <w:rStyle w:val="Marquenotebasdepage"/>
        </w:rPr>
        <w:footnoteReference w:id="34"/>
      </w:r>
      <w:r w:rsidR="00AF7065">
        <w:t>.</w:t>
      </w:r>
      <w:r w:rsidR="00B51336">
        <w:t xml:space="preserve"> </w:t>
      </w:r>
      <w:r w:rsidR="003C2209">
        <w:t>Cela affecte les conditions de la participation citoyenne dans les délibérations publiques liées à des décisions en matière de politiques publiques. Pour illustrer notre propos, prenons deux exemple</w:t>
      </w:r>
      <w:r w:rsidR="00DF5E98">
        <w:t>s</w:t>
      </w:r>
      <w:r w:rsidR="00BC34F5">
        <w:t>. L’un concerne</w:t>
      </w:r>
      <w:r w:rsidR="003C2209">
        <w:t xml:space="preserve"> la Bolivie et l’autre l’Équateur.</w:t>
      </w:r>
    </w:p>
    <w:p w14:paraId="34492030" w14:textId="77777777" w:rsidR="00C05FAC" w:rsidRDefault="00C05FAC" w:rsidP="00C05FAC">
      <w:pPr>
        <w:rPr>
          <w:highlight w:val="yellow"/>
        </w:rPr>
      </w:pPr>
    </w:p>
    <w:p w14:paraId="74649A7D" w14:textId="77777777" w:rsidR="00DE1257" w:rsidRDefault="00646B8A" w:rsidP="00C05FAC">
      <w:r w:rsidRPr="000A5E56">
        <w:rPr>
          <w:i/>
        </w:rPr>
        <w:t>L</w:t>
      </w:r>
      <w:r w:rsidR="00C24896" w:rsidRPr="000A5E56">
        <w:rPr>
          <w:i/>
        </w:rPr>
        <w:t>e cas</w:t>
      </w:r>
      <w:r w:rsidR="000A5E56" w:rsidRPr="000A5E56">
        <w:rPr>
          <w:i/>
        </w:rPr>
        <w:t xml:space="preserve"> de TIPNIS en Bolivie</w:t>
      </w:r>
      <w:r w:rsidR="000A5E56">
        <w:t xml:space="preserve">. Nous faisons référence à </w:t>
      </w:r>
      <w:r w:rsidR="00D500BF">
        <w:t>la résistance des communautés indigènes de</w:t>
      </w:r>
      <w:r w:rsidR="00C24896" w:rsidRPr="00E81720">
        <w:t xml:space="preserve"> TIPNIS</w:t>
      </w:r>
      <w:r w:rsidR="006D20C2" w:rsidRPr="00E81720">
        <w:t xml:space="preserve"> </w:t>
      </w:r>
      <w:r w:rsidR="00E81720" w:rsidRPr="00E81720">
        <w:t>(Territoire Indigène du Parc National Isiboro Sécure)</w:t>
      </w:r>
      <w:r w:rsidR="00C24896" w:rsidRPr="00E81720">
        <w:t xml:space="preserve"> en </w:t>
      </w:r>
      <w:r w:rsidR="00C24896" w:rsidRPr="006347FA">
        <w:t>Bolivie</w:t>
      </w:r>
      <w:r w:rsidR="000A5E56" w:rsidRPr="006347FA">
        <w:t xml:space="preserve"> à un</w:t>
      </w:r>
      <w:r w:rsidR="000A5E56">
        <w:t xml:space="preserve"> projet d’autoroute lancé en 2011 par le gouvernement de Morales</w:t>
      </w:r>
      <w:r w:rsidR="00C05FAC" w:rsidRPr="00E81720">
        <w:t>.</w:t>
      </w:r>
      <w:r w:rsidR="00D500BF">
        <w:t xml:space="preserve"> Sur ce territoire</w:t>
      </w:r>
      <w:r w:rsidR="0029111A">
        <w:t xml:space="preserve"> situé en pleine forêt tropicale</w:t>
      </w:r>
      <w:r w:rsidR="00305D75">
        <w:t xml:space="preserve"> amazonienne</w:t>
      </w:r>
      <w:r w:rsidR="00D500BF">
        <w:t xml:space="preserve">, </w:t>
      </w:r>
      <w:r w:rsidR="0029111A">
        <w:t>se</w:t>
      </w:r>
      <w:r w:rsidR="00D500BF">
        <w:t xml:space="preserve"> trouve une </w:t>
      </w:r>
      <w:r w:rsidR="0029111A">
        <w:t>p</w:t>
      </w:r>
      <w:r w:rsidR="001B6374">
        <w:t>opulation de 15</w:t>
      </w:r>
      <w:r w:rsidR="00D500BF">
        <w:t xml:space="preserve"> 000 personnes </w:t>
      </w:r>
      <w:r w:rsidR="004D2841">
        <w:t>provenant de</w:t>
      </w:r>
      <w:r w:rsidR="002435B9">
        <w:t xml:space="preserve"> trois nations indigènes. Ces dernières font partie d</w:t>
      </w:r>
      <w:r w:rsidR="00D500BF">
        <w:t>es 36 nations</w:t>
      </w:r>
      <w:r w:rsidR="00556D6A">
        <w:t xml:space="preserve"> qui ont été</w:t>
      </w:r>
      <w:r w:rsidR="004D2841">
        <w:t xml:space="preserve"> reconnues dans la Constitution de 2009, en même temps que leurs</w:t>
      </w:r>
      <w:r w:rsidR="00A2750B">
        <w:t xml:space="preserve"> droits à l’autonomie, </w:t>
      </w:r>
      <w:r w:rsidR="0029111A">
        <w:t xml:space="preserve">à l’auto-gouvernement </w:t>
      </w:r>
      <w:r w:rsidR="00A2750B">
        <w:t xml:space="preserve">et à leur </w:t>
      </w:r>
      <w:r w:rsidR="00556D6A">
        <w:t>participation à</w:t>
      </w:r>
      <w:r w:rsidR="00A2750B">
        <w:t xml:space="preserve"> un « État plurinational »</w:t>
      </w:r>
      <w:r w:rsidR="00D500BF">
        <w:t>.</w:t>
      </w:r>
      <w:r w:rsidR="00C05FAC">
        <w:t xml:space="preserve"> </w:t>
      </w:r>
      <w:r w:rsidR="00A2750B">
        <w:t>Voilà qu’en 2011, l</w:t>
      </w:r>
      <w:r w:rsidR="002F1883">
        <w:t xml:space="preserve">e </w:t>
      </w:r>
      <w:r w:rsidR="002F1883">
        <w:lastRenderedPageBreak/>
        <w:t>gouvernement</w:t>
      </w:r>
      <w:r w:rsidR="00D500BF">
        <w:t xml:space="preserve"> de Morales</w:t>
      </w:r>
      <w:r w:rsidR="00305D75">
        <w:t xml:space="preserve">, sans avoir consulté la population concernée, </w:t>
      </w:r>
      <w:r w:rsidR="002F1883">
        <w:t xml:space="preserve"> a </w:t>
      </w:r>
      <w:r w:rsidR="00305D75">
        <w:t xml:space="preserve">mis de l’avant </w:t>
      </w:r>
      <w:r w:rsidR="0029111A">
        <w:t>le projet de construire</w:t>
      </w:r>
      <w:r w:rsidR="002F1883">
        <w:t xml:space="preserve"> une autoroute de 300 kilomètres</w:t>
      </w:r>
      <w:r w:rsidR="00A2750B">
        <w:t xml:space="preserve"> à travers le territoire de TIPNIS</w:t>
      </w:r>
      <w:r w:rsidR="002F1883">
        <w:t xml:space="preserve">. </w:t>
      </w:r>
      <w:r w:rsidR="000F2443">
        <w:t>L</w:t>
      </w:r>
      <w:r w:rsidR="00305D75">
        <w:t xml:space="preserve">e projet </w:t>
      </w:r>
      <w:r w:rsidR="00B64A7E">
        <w:t>se présente</w:t>
      </w:r>
      <w:r w:rsidR="000F2443">
        <w:t xml:space="preserve"> </w:t>
      </w:r>
      <w:r w:rsidR="00305D75">
        <w:t>comme une réponse aux pressions brésiliennes pour relier l’Atlantique au Pacifique</w:t>
      </w:r>
      <w:r w:rsidR="00B64A7E">
        <w:t xml:space="preserve"> et</w:t>
      </w:r>
      <w:r w:rsidR="00556D6A">
        <w:t xml:space="preserve"> </w:t>
      </w:r>
      <w:r w:rsidR="000F2443">
        <w:t xml:space="preserve">favoriser </w:t>
      </w:r>
      <w:r w:rsidR="00DE1257">
        <w:t>les liens économiques avec</w:t>
      </w:r>
      <w:r w:rsidR="000F2443">
        <w:t xml:space="preserve"> la Chine</w:t>
      </w:r>
      <w:r w:rsidR="00305D75">
        <w:t xml:space="preserve">. </w:t>
      </w:r>
    </w:p>
    <w:p w14:paraId="5287B16F" w14:textId="77777777" w:rsidR="00DE1257" w:rsidRDefault="00DE1257" w:rsidP="00C05FAC"/>
    <w:p w14:paraId="3AAECB43" w14:textId="77777777" w:rsidR="00C05FAC" w:rsidRDefault="00305D75" w:rsidP="00C05FAC">
      <w:r>
        <w:t>L’annonce du</w:t>
      </w:r>
      <w:r w:rsidR="00D500BF">
        <w:t xml:space="preserve"> projet</w:t>
      </w:r>
      <w:r w:rsidR="002F1883">
        <w:t xml:space="preserve"> </w:t>
      </w:r>
      <w:r>
        <w:t xml:space="preserve">d’autoroute </w:t>
      </w:r>
      <w:r w:rsidR="00DE1257">
        <w:t>a rapidement suscité</w:t>
      </w:r>
      <w:r>
        <w:t xml:space="preserve"> la résistance des communautés paysannes et indigènes du territoire</w:t>
      </w:r>
      <w:r w:rsidR="00623B3F">
        <w:t xml:space="preserve"> et des organisations qui les représentent dont la CIDOB (</w:t>
      </w:r>
      <w:r w:rsidR="00623B3F" w:rsidRPr="00623B3F">
        <w:rPr>
          <w:i/>
        </w:rPr>
        <w:t>Central Indigena de Pueblos del Oriente Boliviano</w:t>
      </w:r>
      <w:r w:rsidR="00623B3F">
        <w:t>).</w:t>
      </w:r>
      <w:r w:rsidR="00D900A1">
        <w:t xml:space="preserve"> Le 15 </w:t>
      </w:r>
      <w:r w:rsidR="008C1429">
        <w:t>août 2011,</w:t>
      </w:r>
      <w:r w:rsidR="00D900A1">
        <w:t xml:space="preserve"> </w:t>
      </w:r>
      <w:r w:rsidR="008C1429">
        <w:t>la XIIIe M</w:t>
      </w:r>
      <w:r w:rsidR="00D900A1">
        <w:t>arche a été lancée pour parcourir une distance de 512 kilomètres entre San Ignacio de Moxos et La Paz. Le 25 septembre, les marcheurs</w:t>
      </w:r>
      <w:r w:rsidR="001174A0">
        <w:t>, incluant des femmes, des enfants et des personnes âgées,</w:t>
      </w:r>
      <w:r w:rsidR="00D900A1">
        <w:t xml:space="preserve"> ont fait l’objet d’une répression brut</w:t>
      </w:r>
      <w:r w:rsidR="008C1429">
        <w:t xml:space="preserve">ale à Yucumo de la part de 600 militaires </w:t>
      </w:r>
      <w:r w:rsidR="00D900A1">
        <w:t xml:space="preserve">envoyés par le gouvernement.  </w:t>
      </w:r>
      <w:r w:rsidR="001174A0">
        <w:t xml:space="preserve">Par la suite, le gouvernement a lancé des représailles judiciaires contre </w:t>
      </w:r>
      <w:r w:rsidR="008C1429">
        <w:t xml:space="preserve">26 personnes dont </w:t>
      </w:r>
      <w:r w:rsidR="00E556C3">
        <w:t>24 des participants à la M</w:t>
      </w:r>
      <w:r w:rsidR="001174A0">
        <w:t>arche. En avril 2012, une nouvelle marche</w:t>
      </w:r>
      <w:r w:rsidR="00386272">
        <w:t xml:space="preserve"> </w:t>
      </w:r>
      <w:r w:rsidR="00386272">
        <w:rPr>
          <w:rFonts w:ascii="Cambria" w:hAnsi="Cambria"/>
        </w:rPr>
        <w:t>—la</w:t>
      </w:r>
      <w:r w:rsidR="00E556C3">
        <w:t xml:space="preserve"> IXe M</w:t>
      </w:r>
      <w:r w:rsidR="00386272">
        <w:t>arche</w:t>
      </w:r>
      <w:r w:rsidR="00386272">
        <w:rPr>
          <w:rFonts w:ascii="Cambria" w:hAnsi="Cambria"/>
        </w:rPr>
        <w:t>—</w:t>
      </w:r>
      <w:r w:rsidR="002B4AC4">
        <w:t xml:space="preserve"> </w:t>
      </w:r>
      <w:r w:rsidR="00E556C3">
        <w:t>s’est déployée</w:t>
      </w:r>
      <w:r w:rsidR="00386272">
        <w:t xml:space="preserve"> </w:t>
      </w:r>
      <w:r w:rsidR="00E556C3">
        <w:t>et</w:t>
      </w:r>
      <w:r w:rsidR="002B4AC4">
        <w:t xml:space="preserve"> dénouée</w:t>
      </w:r>
      <w:r w:rsidR="00E556C3">
        <w:t xml:space="preserve"> deux mois plus tard</w:t>
      </w:r>
      <w:r w:rsidR="002B4AC4">
        <w:t xml:space="preserve"> avec l’entrée à La Paz de 20 000 personnes</w:t>
      </w:r>
      <w:r w:rsidR="00386272">
        <w:t xml:space="preserve">. </w:t>
      </w:r>
      <w:r w:rsidR="002B4AC4">
        <w:t>Le « M</w:t>
      </w:r>
      <w:r w:rsidR="00386272">
        <w:t>anifeste</w:t>
      </w:r>
      <w:r w:rsidR="002B4AC4">
        <w:t xml:space="preserve"> final de la IX</w:t>
      </w:r>
      <w:r w:rsidR="00E556C3">
        <w:t>e</w:t>
      </w:r>
      <w:r w:rsidR="002B4AC4">
        <w:t xml:space="preserve"> Marche » accuse « Evo d’approfondir le modèle extractiviste en Bolivie » et</w:t>
      </w:r>
      <w:r w:rsidR="00386272">
        <w:t xml:space="preserve"> dénonce « les militaires, fonctionnaires et politiciens du MAS qui veulent sucer à tout prix le sang de notre Mère Terre »</w:t>
      </w:r>
      <w:r w:rsidR="001174A0">
        <w:t xml:space="preserve">. </w:t>
      </w:r>
      <w:r w:rsidR="00623B3F">
        <w:t xml:space="preserve">La </w:t>
      </w:r>
      <w:r>
        <w:t xml:space="preserve">résistance </w:t>
      </w:r>
      <w:r w:rsidR="00623B3F">
        <w:t>a rapidement bénéficié d’une panoplie d’</w:t>
      </w:r>
      <w:r>
        <w:t xml:space="preserve">appuis </w:t>
      </w:r>
      <w:r w:rsidR="00623B3F">
        <w:t xml:space="preserve">en provenance </w:t>
      </w:r>
      <w:r>
        <w:t>de divers mouvements sociaux et politiques dans l’ensemble du pays et du continent</w:t>
      </w:r>
      <w:r w:rsidR="008A760D">
        <w:t xml:space="preserve">, voire </w:t>
      </w:r>
      <w:r w:rsidR="003E7E5B" w:rsidRPr="006347FA">
        <w:t>d’</w:t>
      </w:r>
      <w:r w:rsidR="008A760D" w:rsidRPr="006347FA">
        <w:t>ailleurs</w:t>
      </w:r>
      <w:r w:rsidR="008A760D">
        <w:t xml:space="preserve"> dans le monde</w:t>
      </w:r>
      <w:r>
        <w:t xml:space="preserve">.  </w:t>
      </w:r>
      <w:r w:rsidR="001B6374">
        <w:t xml:space="preserve">Les critiques ont fait mal paraitre le gouvernement de Morales en faisant ressortir les </w:t>
      </w:r>
      <w:r>
        <w:t>contradiction</w:t>
      </w:r>
      <w:r w:rsidR="001B6374">
        <w:t>s entre le projet et</w:t>
      </w:r>
      <w:r>
        <w:t xml:space="preserve"> les principes </w:t>
      </w:r>
      <w:r w:rsidR="002F1883">
        <w:t>écologique</w:t>
      </w:r>
      <w:r>
        <w:t>s</w:t>
      </w:r>
      <w:r w:rsidR="002F1883">
        <w:t xml:space="preserve"> </w:t>
      </w:r>
      <w:r w:rsidR="001B6374">
        <w:t>bien ancrés</w:t>
      </w:r>
      <w:r w:rsidR="005B3DAE">
        <w:t xml:space="preserve"> dans </w:t>
      </w:r>
      <w:r w:rsidR="001B6374">
        <w:t xml:space="preserve">la Constitution de 2009 et </w:t>
      </w:r>
      <w:r w:rsidR="005B3DAE">
        <w:t>l</w:t>
      </w:r>
      <w:r w:rsidR="004D2841">
        <w:t>e discours du président Morales</w:t>
      </w:r>
      <w:r w:rsidR="004D2841">
        <w:rPr>
          <w:rStyle w:val="Marquenotebasdepage"/>
        </w:rPr>
        <w:footnoteReference w:id="35"/>
      </w:r>
      <w:r w:rsidR="004D2841">
        <w:t xml:space="preserve">. </w:t>
      </w:r>
      <w:r w:rsidR="00980A04">
        <w:t>L’enjeu pour les populations touchées, c’est la contamination de la terre, de l</w:t>
      </w:r>
      <w:r w:rsidR="00E556C3">
        <w:t>’eau et de l’air. C’est le risque</w:t>
      </w:r>
      <w:r w:rsidR="00980A04">
        <w:t xml:space="preserve"> de détérioration de la qualité de vie des populations locales concerné</w:t>
      </w:r>
      <w:r w:rsidR="004D2841">
        <w:t>e</w:t>
      </w:r>
      <w:r w:rsidR="00980A04">
        <w:t>s</w:t>
      </w:r>
      <w:r w:rsidR="001B6374">
        <w:t>. Le mouvement de résistance a pris par surprise le gouvernement du MAS et attisé des divisions au sein de la société et de divers mouvements sociaux</w:t>
      </w:r>
      <w:r w:rsidR="00D900A1">
        <w:t>, notamment dans le mouvement indigène et paysan</w:t>
      </w:r>
      <w:r w:rsidR="006D4160">
        <w:rPr>
          <w:rStyle w:val="Marquenotebasdepage"/>
        </w:rPr>
        <w:footnoteReference w:id="36"/>
      </w:r>
      <w:r w:rsidR="001B6374">
        <w:t xml:space="preserve">. Morales, sans abandonner le projet, a dû </w:t>
      </w:r>
      <w:r w:rsidR="001174A0">
        <w:t>suspendre sa réalisation. Il a reconnu</w:t>
      </w:r>
      <w:r w:rsidR="006D4160">
        <w:t xml:space="preserve"> que son gouvernement avait fait des erreurs</w:t>
      </w:r>
      <w:r w:rsidR="001174A0">
        <w:t xml:space="preserve"> et demandé pardon pour la brutalité policière. Il a promis de</w:t>
      </w:r>
      <w:r w:rsidR="00D900A1">
        <w:t xml:space="preserve"> consulter la population et</w:t>
      </w:r>
      <w:r w:rsidR="006D4160">
        <w:t xml:space="preserve"> </w:t>
      </w:r>
      <w:r w:rsidR="001174A0">
        <w:t xml:space="preserve">de </w:t>
      </w:r>
      <w:r w:rsidR="006D4160">
        <w:t>négocier</w:t>
      </w:r>
      <w:r w:rsidR="001174A0">
        <w:t xml:space="preserve"> avec elle</w:t>
      </w:r>
      <w:r w:rsidR="0031586C">
        <w:t xml:space="preserve"> (</w:t>
      </w:r>
      <w:r w:rsidR="0031586C" w:rsidRPr="0032341F">
        <w:t>Valdé</w:t>
      </w:r>
      <w:r w:rsidR="004D2841" w:rsidRPr="0032341F">
        <w:t>s</w:t>
      </w:r>
      <w:r w:rsidR="00B50923">
        <w:t xml:space="preserve">, 2012; Smink, </w:t>
      </w:r>
      <w:r w:rsidR="004D2841">
        <w:t>2014; Mayorga, 2014</w:t>
      </w:r>
      <w:r w:rsidR="00D5011B">
        <w:t>; Olivera, 2012</w:t>
      </w:r>
      <w:r w:rsidR="00AA6C81">
        <w:t xml:space="preserve">; </w:t>
      </w:r>
      <w:r w:rsidR="0031586C">
        <w:t xml:space="preserve">Mamani </w:t>
      </w:r>
      <w:r w:rsidR="0031586C" w:rsidRPr="0032341F">
        <w:t>Ramí</w:t>
      </w:r>
      <w:r w:rsidR="00E151F2" w:rsidRPr="0032341F">
        <w:t>rez</w:t>
      </w:r>
      <w:r w:rsidR="00E151F2">
        <w:t xml:space="preserve">, 2012; </w:t>
      </w:r>
      <w:r w:rsidR="00AA6C81">
        <w:t>La Fuente, 2013</w:t>
      </w:r>
      <w:r w:rsidR="004D2841">
        <w:t>)</w:t>
      </w:r>
      <w:r w:rsidR="00C05FAC">
        <w:t xml:space="preserve">. </w:t>
      </w:r>
    </w:p>
    <w:p w14:paraId="5EB89E4F" w14:textId="77777777" w:rsidR="00C05FAC" w:rsidRDefault="00C05FAC" w:rsidP="00C05FAC">
      <w:pPr>
        <w:rPr>
          <w:highlight w:val="yellow"/>
        </w:rPr>
      </w:pPr>
    </w:p>
    <w:p w14:paraId="6B9E15C9" w14:textId="77777777" w:rsidR="0058675E" w:rsidRDefault="00C05FAC" w:rsidP="00C05FAC">
      <w:r w:rsidRPr="008928C9">
        <w:rPr>
          <w:i/>
        </w:rPr>
        <w:t>L</w:t>
      </w:r>
      <w:r w:rsidR="00DC706E" w:rsidRPr="008928C9">
        <w:rPr>
          <w:i/>
        </w:rPr>
        <w:t xml:space="preserve">e cas de l’Initiative Yasuni-ITT </w:t>
      </w:r>
      <w:r w:rsidR="00C24896" w:rsidRPr="008928C9">
        <w:rPr>
          <w:i/>
        </w:rPr>
        <w:t>en Équateur</w:t>
      </w:r>
      <w:r w:rsidR="00C24896" w:rsidRPr="00775024">
        <w:t>.</w:t>
      </w:r>
      <w:r w:rsidR="0032786C">
        <w:t xml:space="preserve"> </w:t>
      </w:r>
      <w:r w:rsidR="00775024">
        <w:t>Le parc Yasuni est situé dans une région amazonienne, dotée d’une</w:t>
      </w:r>
      <w:r w:rsidR="00D33967">
        <w:t xml:space="preserve"> riche biodiversité </w:t>
      </w:r>
      <w:r w:rsidR="00775024">
        <w:t>et habitée par des populations aborigènes attachées à leurs t</w:t>
      </w:r>
      <w:r w:rsidR="00DC706E">
        <w:t>raditions</w:t>
      </w:r>
      <w:r w:rsidR="00D33967">
        <w:t xml:space="preserve"> ancestrales</w:t>
      </w:r>
      <w:r w:rsidR="00DC706E">
        <w:t>. Ce parc est</w:t>
      </w:r>
      <w:r w:rsidR="00775024">
        <w:t xml:space="preserve"> doté d’une r</w:t>
      </w:r>
      <w:r w:rsidR="00691D94">
        <w:t xml:space="preserve">éserve pétrolière évaluée à 920 millions de barils et dont la valeur est estimée à 7 milliards $. Toutefois, </w:t>
      </w:r>
      <w:r w:rsidR="00DC706E">
        <w:t>l’</w:t>
      </w:r>
      <w:r w:rsidR="00691D94">
        <w:t>exploitation</w:t>
      </w:r>
      <w:r w:rsidR="00DC706E">
        <w:t xml:space="preserve"> de cette réserve</w:t>
      </w:r>
      <w:r w:rsidR="00691D94">
        <w:t xml:space="preserve"> com</w:t>
      </w:r>
      <w:r w:rsidR="008928C9">
        <w:t>porte</w:t>
      </w:r>
      <w:r w:rsidR="00691D94">
        <w:t xml:space="preserve"> des risques énormes pour l’environnement et la qualité de vie des communautés indigènes.  Pendant la campagne électorale de 2006, l’équipe de Correa avait pris un engagement qu’on a appelé</w:t>
      </w:r>
      <w:r w:rsidR="002F460C">
        <w:t xml:space="preserve"> par la suite « l’I</w:t>
      </w:r>
      <w:r w:rsidR="00691D94">
        <w:t>nitiative Yasuni</w:t>
      </w:r>
      <w:r w:rsidR="00DC706E">
        <w:t>-ITT</w:t>
      </w:r>
      <w:r w:rsidR="00DC706E">
        <w:rPr>
          <w:rStyle w:val="Marquenotebasdepage"/>
        </w:rPr>
        <w:footnoteReference w:id="37"/>
      </w:r>
      <w:r w:rsidR="002F460C">
        <w:t> »</w:t>
      </w:r>
      <w:r w:rsidR="00691D94">
        <w:t xml:space="preserve">. </w:t>
      </w:r>
      <w:r w:rsidR="0048512D">
        <w:t>C</w:t>
      </w:r>
      <w:r w:rsidR="002F460C">
        <w:t>et engagement avait bel et bien été co-construit</w:t>
      </w:r>
      <w:r w:rsidR="00040B1A">
        <w:t>,</w:t>
      </w:r>
      <w:r w:rsidR="002F460C">
        <w:t xml:space="preserve"> avec </w:t>
      </w:r>
      <w:r w:rsidR="00040B1A">
        <w:t>la participation citoyenne</w:t>
      </w:r>
      <w:r w:rsidR="002F460C">
        <w:t xml:space="preserve"> d’acteurs sociopolitiques bien enracinés dans les mouvement</w:t>
      </w:r>
      <w:r w:rsidR="0058675E">
        <w:t>s indigènes et écologiques. L’</w:t>
      </w:r>
      <w:r w:rsidR="00040B1A">
        <w:t xml:space="preserve">Initiative </w:t>
      </w:r>
      <w:r w:rsidR="00040B1A">
        <w:lastRenderedPageBreak/>
        <w:t>Yasuni</w:t>
      </w:r>
      <w:r w:rsidR="00D33967">
        <w:t>-</w:t>
      </w:r>
      <w:r w:rsidR="0048512D">
        <w:t>ITT</w:t>
      </w:r>
      <w:r w:rsidR="002F460C">
        <w:t xml:space="preserve"> consistait</w:t>
      </w:r>
      <w:r w:rsidR="0048512D">
        <w:t xml:space="preserve">, pour le gouvernement de Correa, </w:t>
      </w:r>
      <w:r w:rsidR="002F460C">
        <w:t xml:space="preserve"> à pro</w:t>
      </w:r>
      <w:r w:rsidR="0048512D">
        <w:t>mettre</w:t>
      </w:r>
      <w:r w:rsidR="002F460C">
        <w:t xml:space="preserve"> </w:t>
      </w:r>
      <w:r w:rsidR="0048512D">
        <w:t>de renoncer</w:t>
      </w:r>
      <w:r w:rsidR="00040B1A">
        <w:t xml:space="preserve"> à extraire</w:t>
      </w:r>
      <w:r w:rsidR="002F460C">
        <w:t xml:space="preserve"> le pétrole lourd du </w:t>
      </w:r>
      <w:r w:rsidR="0048512D">
        <w:t xml:space="preserve">sol du </w:t>
      </w:r>
      <w:r w:rsidR="002F460C">
        <w:t>parc Yasuni</w:t>
      </w:r>
      <w:r w:rsidR="00040B1A">
        <w:t>,</w:t>
      </w:r>
      <w:r w:rsidR="002F460C">
        <w:t xml:space="preserve"> en retour d’une compensation financière de l’ordre de 3,6 milliards $</w:t>
      </w:r>
      <w:r w:rsidR="00CC112D">
        <w:t xml:space="preserve"> </w:t>
      </w:r>
      <w:r w:rsidR="00CC112D">
        <w:rPr>
          <w:rFonts w:ascii="Cambria" w:hAnsi="Cambria"/>
        </w:rPr>
        <w:t>—</w:t>
      </w:r>
      <w:r w:rsidR="00CC112D">
        <w:t>représentant la moitié de la valeur du gisement pétrolier</w:t>
      </w:r>
      <w:r w:rsidR="00CC112D">
        <w:rPr>
          <w:rFonts w:ascii="Cambria" w:hAnsi="Cambria"/>
        </w:rPr>
        <w:t>—</w:t>
      </w:r>
      <w:r w:rsidR="002F460C">
        <w:t xml:space="preserve"> qui serait </w:t>
      </w:r>
      <w:r w:rsidR="0048512D">
        <w:t>versée</w:t>
      </w:r>
      <w:r w:rsidR="002F460C">
        <w:t xml:space="preserve"> par des pays du </w:t>
      </w:r>
      <w:r w:rsidR="002F460C" w:rsidRPr="006347FA">
        <w:t>Nord</w:t>
      </w:r>
      <w:r w:rsidR="00CC112D" w:rsidRPr="006347FA">
        <w:t xml:space="preserve"> sur une période</w:t>
      </w:r>
      <w:r w:rsidR="00CC112D">
        <w:t xml:space="preserve"> de 10 ans</w:t>
      </w:r>
      <w:r w:rsidR="002F460C">
        <w:t xml:space="preserve">. </w:t>
      </w:r>
      <w:r w:rsidR="0048512D">
        <w:t xml:space="preserve">En juillet 2007, le gouvernement </w:t>
      </w:r>
      <w:r w:rsidR="00CC112D">
        <w:t>Correa</w:t>
      </w:r>
      <w:r w:rsidR="0048512D">
        <w:t xml:space="preserve"> a </w:t>
      </w:r>
      <w:r w:rsidR="00280E80">
        <w:t>réaffirmé solennellement</w:t>
      </w:r>
      <w:r w:rsidR="005B29DC">
        <w:t xml:space="preserve"> </w:t>
      </w:r>
      <w:r w:rsidR="0048512D">
        <w:t xml:space="preserve">cet engagement. </w:t>
      </w:r>
      <w:r w:rsidR="00CC112D">
        <w:t xml:space="preserve"> </w:t>
      </w:r>
      <w:r w:rsidR="00280E80">
        <w:t>Au cours des années 2007 à 2010, la reconnaissance et la promotion du projet ont progressé sur la scène internationale, notamment en Europe où plusieurs pays dont l’Allemagne et la Belgique ont montré de l’intérêt. Dans l’</w:t>
      </w:r>
      <w:r w:rsidR="00764DF7">
        <w:t>intervalle, l’Initiative Yasuni-ITT était devenue un puissant symbole dans les réseaux internationaux préoccupés de la qualité de vie environnementale</w:t>
      </w:r>
      <w:r w:rsidR="005C3D95">
        <w:t xml:space="preserve">, notamment </w:t>
      </w:r>
      <w:r w:rsidR="0058675E">
        <w:t>dans les institutions de l’ONU. L</w:t>
      </w:r>
      <w:r w:rsidR="005C3D95">
        <w:t xml:space="preserve">e gouvernement de l’Équateur </w:t>
      </w:r>
      <w:r w:rsidR="0058675E">
        <w:t xml:space="preserve">apparaissait </w:t>
      </w:r>
      <w:r w:rsidR="005C3D95">
        <w:t>comme un exemple à suivre</w:t>
      </w:r>
      <w:r w:rsidR="00744F3B">
        <w:t xml:space="preserve"> dans la lutte mondiale contre le changement climatique</w:t>
      </w:r>
      <w:r w:rsidR="00764DF7">
        <w:t xml:space="preserve">. </w:t>
      </w:r>
      <w:r w:rsidR="005C3D95">
        <w:t xml:space="preserve">Mais </w:t>
      </w:r>
      <w:r w:rsidR="0058675E">
        <w:t>à partir de 2011</w:t>
      </w:r>
      <w:r w:rsidR="005C3D95">
        <w:t xml:space="preserve">, même si le gouvernement de Correa maintenait toujours officiellement le cap sur le projet, il était devenu évident que celui-ci avait du plomb dans l’aile. Depuis la crise financière de 2008, les pays européens qui s’étaient montrés auparavant intéressés à fournir une participation à la compensation financière étaient devenus plus circonspects. La mise en œuvre du projet devenait douteuse.  </w:t>
      </w:r>
      <w:r w:rsidR="00D507A3">
        <w:t xml:space="preserve">Ce n’était plus un secret, le gouvernement Correa songeait à </w:t>
      </w:r>
      <w:r w:rsidR="0058675E">
        <w:t>abandonner le projet</w:t>
      </w:r>
      <w:r w:rsidR="00D507A3">
        <w:t xml:space="preserve">. </w:t>
      </w:r>
      <w:r w:rsidR="004D4D52">
        <w:t xml:space="preserve">Le 15 août 2013, </w:t>
      </w:r>
      <w:r w:rsidR="00764DF7">
        <w:t xml:space="preserve">Correa </w:t>
      </w:r>
      <w:r w:rsidR="004D4D52">
        <w:t>a annoncé officiellement</w:t>
      </w:r>
      <w:r w:rsidR="00BB338E">
        <w:t>, « avec une profonde tristesse » et parce que « le monde a failli »</w:t>
      </w:r>
      <w:r w:rsidR="008F6ED7">
        <w:t>,</w:t>
      </w:r>
      <w:r w:rsidR="00BB338E">
        <w:t xml:space="preserve"> </w:t>
      </w:r>
      <w:r w:rsidR="0058675E">
        <w:t>disait-il</w:t>
      </w:r>
      <w:r w:rsidR="00BB338E">
        <w:t>, la fin</w:t>
      </w:r>
      <w:r>
        <w:t xml:space="preserve"> de </w:t>
      </w:r>
      <w:r w:rsidR="004D4D52">
        <w:t>l’Initiative</w:t>
      </w:r>
      <w:r>
        <w:t xml:space="preserve"> Yasuni</w:t>
      </w:r>
      <w:r w:rsidR="00CC112D">
        <w:t xml:space="preserve">-ITT </w:t>
      </w:r>
      <w:r>
        <w:t>(</w:t>
      </w:r>
      <w:r w:rsidR="00BB338E">
        <w:t>El Universo, 15 août 2013</w:t>
      </w:r>
      <w:r>
        <w:t xml:space="preserve">). </w:t>
      </w:r>
    </w:p>
    <w:p w14:paraId="2AB6BF19" w14:textId="77777777" w:rsidR="0058675E" w:rsidRDefault="0058675E" w:rsidP="00C05FAC"/>
    <w:p w14:paraId="3FCDFE52" w14:textId="77777777" w:rsidR="00F74247" w:rsidRDefault="006F6621" w:rsidP="00C05FAC">
      <w:r>
        <w:t>Le virage</w:t>
      </w:r>
      <w:r w:rsidR="00626797">
        <w:t xml:space="preserve"> gouvernemental est appuyé</w:t>
      </w:r>
      <w:r w:rsidR="002254AA">
        <w:t xml:space="preserve"> par une partie des communautés locales et des mouve</w:t>
      </w:r>
      <w:r w:rsidR="00626797">
        <w:t xml:space="preserve">ments indigènes. En retour, il </w:t>
      </w:r>
      <w:r w:rsidR="00B142C6">
        <w:t>est</w:t>
      </w:r>
      <w:r w:rsidR="00626797">
        <w:t xml:space="preserve"> mal reçu</w:t>
      </w:r>
      <w:r w:rsidR="0007489F">
        <w:t xml:space="preserve"> par l</w:t>
      </w:r>
      <w:r w:rsidR="00C05FAC">
        <w:t>a gauche écologiste</w:t>
      </w:r>
      <w:r w:rsidR="00E5757A">
        <w:t xml:space="preserve"> et indigéniste</w:t>
      </w:r>
      <w:r w:rsidR="00C05FAC">
        <w:t xml:space="preserve"> radicale</w:t>
      </w:r>
      <w:r w:rsidR="0007489F">
        <w:t xml:space="preserve"> qui, depuis </w:t>
      </w:r>
      <w:r w:rsidR="00BB338E">
        <w:t>2011</w:t>
      </w:r>
      <w:r w:rsidR="00626797">
        <w:t>, a organisé plusieurs a</w:t>
      </w:r>
      <w:r w:rsidR="00DB226D">
        <w:t>ctivités de résistance dont l</w:t>
      </w:r>
      <w:r w:rsidR="00626797">
        <w:t>a marche de 600 kilomètres entre Zamora et Quito « en défense de l’eau et de la terre »</w:t>
      </w:r>
      <w:r w:rsidR="00B142C6">
        <w:t>,</w:t>
      </w:r>
      <w:r w:rsidR="00626797">
        <w:t xml:space="preserve"> </w:t>
      </w:r>
      <w:r w:rsidR="00DB226D">
        <w:t>tenue</w:t>
      </w:r>
      <w:r w:rsidR="00626797">
        <w:t xml:space="preserve"> en mars 2012.   </w:t>
      </w:r>
      <w:r w:rsidR="0007489F">
        <w:t xml:space="preserve"> </w:t>
      </w:r>
      <w:r w:rsidR="00DB226D">
        <w:t xml:space="preserve">L’opposition de cette gauche s’est manifestée sous une forme plus clairement politique lors </w:t>
      </w:r>
      <w:r w:rsidR="0007489F">
        <w:t xml:space="preserve">de la campagne </w:t>
      </w:r>
      <w:r w:rsidR="00DB226D">
        <w:t>précédant</w:t>
      </w:r>
      <w:r w:rsidR="0007489F">
        <w:t xml:space="preserve"> les é</w:t>
      </w:r>
      <w:r w:rsidR="00DB226D">
        <w:t>lections de février 2013, lorsqu’elle</w:t>
      </w:r>
      <w:r w:rsidR="002254AA">
        <w:t xml:space="preserve"> a </w:t>
      </w:r>
      <w:r w:rsidR="0007489F">
        <w:t>appuyé la candidature d’Alberto Acosta</w:t>
      </w:r>
      <w:r w:rsidR="00CF3070">
        <w:rPr>
          <w:rStyle w:val="Marquenotebasdepage"/>
        </w:rPr>
        <w:footnoteReference w:id="38"/>
      </w:r>
      <w:r w:rsidR="00BB338E">
        <w:t>. Cette gauche s’est montrée</w:t>
      </w:r>
      <w:r w:rsidR="00C05FAC">
        <w:t xml:space="preserve"> intraitable </w:t>
      </w:r>
      <w:r w:rsidR="002254AA">
        <w:t>dans l</w:t>
      </w:r>
      <w:r w:rsidR="00BB338E">
        <w:t>e</w:t>
      </w:r>
      <w:r w:rsidR="00626797">
        <w:t xml:space="preserve"> débat public </w:t>
      </w:r>
      <w:r w:rsidR="00626797" w:rsidRPr="006347FA">
        <w:t>sur</w:t>
      </w:r>
      <w:r w:rsidR="00BB338E" w:rsidRPr="006347FA">
        <w:t xml:space="preserve"> </w:t>
      </w:r>
      <w:r w:rsidR="003E7E5B" w:rsidRPr="006347FA">
        <w:t xml:space="preserve">le </w:t>
      </w:r>
      <w:r w:rsidR="00BB338E" w:rsidRPr="006347FA">
        <w:t>dossier</w:t>
      </w:r>
      <w:r w:rsidR="002254AA">
        <w:t xml:space="preserve"> Yasuni</w:t>
      </w:r>
      <w:r w:rsidR="00C05FAC">
        <w:t xml:space="preserve">. </w:t>
      </w:r>
      <w:r w:rsidR="00BB338E">
        <w:t>Pour elle</w:t>
      </w:r>
      <w:r w:rsidR="0007489F">
        <w:t>, qu’il y ait ou q</w:t>
      </w:r>
      <w:r w:rsidR="00405AD5">
        <w:t>u’il n’y ait pas d’indemnisation</w:t>
      </w:r>
      <w:r w:rsidR="0007489F">
        <w:t xml:space="preserve"> financière</w:t>
      </w:r>
      <w:r w:rsidR="00405AD5">
        <w:t xml:space="preserve"> de 3,6 milliards $</w:t>
      </w:r>
      <w:r w:rsidR="0007489F">
        <w:t xml:space="preserve"> versée par les pays du Nord, l’Initiative Yasuni</w:t>
      </w:r>
      <w:r w:rsidR="002254AA">
        <w:t>-ITT</w:t>
      </w:r>
      <w:r w:rsidR="0007489F">
        <w:t xml:space="preserve"> dev</w:t>
      </w:r>
      <w:r w:rsidR="00626797">
        <w:t>r</w:t>
      </w:r>
      <w:r w:rsidR="0007489F">
        <w:t xml:space="preserve">ait être maintenue. </w:t>
      </w:r>
      <w:r w:rsidR="00626797">
        <w:t>À tout</w:t>
      </w:r>
      <w:r w:rsidR="00BB338E">
        <w:t xml:space="preserve"> le moins, un référendum devrait être tenu pour voir ce que le peuple en pense. </w:t>
      </w:r>
      <w:r w:rsidR="003F05C8">
        <w:t xml:space="preserve">Depuis </w:t>
      </w:r>
      <w:r w:rsidR="0007489F">
        <w:t>l’annonce du</w:t>
      </w:r>
      <w:r w:rsidR="003F05C8">
        <w:t xml:space="preserve"> virage</w:t>
      </w:r>
      <w:r w:rsidR="0007489F">
        <w:t xml:space="preserve"> de la politique gouvernementale</w:t>
      </w:r>
      <w:r w:rsidR="003F05C8">
        <w:t xml:space="preserve">, </w:t>
      </w:r>
      <w:r w:rsidR="00BF1E50">
        <w:t xml:space="preserve">la polarisation </w:t>
      </w:r>
      <w:r w:rsidR="00BB338E">
        <w:t xml:space="preserve">s’est intensifiée </w:t>
      </w:r>
      <w:r w:rsidR="00BF1E50">
        <w:t xml:space="preserve">entre le gouvernement et une partie significative </w:t>
      </w:r>
      <w:r w:rsidR="00C05FAC">
        <w:t xml:space="preserve">des communautés locales concernées et </w:t>
      </w:r>
      <w:r w:rsidR="00BF1E50">
        <w:t>des mouvements indigène</w:t>
      </w:r>
      <w:r w:rsidR="003F05C8">
        <w:t xml:space="preserve"> et écologique. </w:t>
      </w:r>
      <w:r w:rsidR="004A43DB">
        <w:t xml:space="preserve">Au cœur des forces d’opposition, on retrouve </w:t>
      </w:r>
      <w:r w:rsidR="00BF1E50">
        <w:t>une partie importante</w:t>
      </w:r>
      <w:r w:rsidR="0031586C">
        <w:t xml:space="preserve"> de la CONAIE (</w:t>
      </w:r>
      <w:r w:rsidR="0031586C" w:rsidRPr="0032341F">
        <w:t>Confederación</w:t>
      </w:r>
      <w:r w:rsidR="0031586C">
        <w:t xml:space="preserve"> Nacional de </w:t>
      </w:r>
      <w:r w:rsidR="0031586C" w:rsidRPr="0032341F">
        <w:t>Indí</w:t>
      </w:r>
      <w:r w:rsidR="004A43DB" w:rsidRPr="0032341F">
        <w:t>genas</w:t>
      </w:r>
      <w:r w:rsidR="004A43DB">
        <w:t xml:space="preserve"> del Ecuador) et</w:t>
      </w:r>
      <w:r w:rsidR="00BF1E50">
        <w:t xml:space="preserve"> de</w:t>
      </w:r>
      <w:r w:rsidR="004A43DB">
        <w:t xml:space="preserve"> PACHAKUTIK, un parti politique proche de la CONAIE</w:t>
      </w:r>
      <w:r w:rsidR="004A43DB">
        <w:rPr>
          <w:rStyle w:val="Marquenotebasdepage"/>
        </w:rPr>
        <w:footnoteReference w:id="39"/>
      </w:r>
      <w:r w:rsidR="004A43DB">
        <w:t xml:space="preserve">. </w:t>
      </w:r>
      <w:r w:rsidR="002254AA">
        <w:t>L</w:t>
      </w:r>
      <w:r w:rsidR="00D33321">
        <w:t xml:space="preserve">a fermeture </w:t>
      </w:r>
      <w:r w:rsidR="00D71829">
        <w:t>en décembre 2013</w:t>
      </w:r>
      <w:r w:rsidR="00D33321">
        <w:t xml:space="preserve"> de la </w:t>
      </w:r>
      <w:r w:rsidR="00D33321" w:rsidRPr="006C29A0">
        <w:rPr>
          <w:i/>
        </w:rPr>
        <w:t>Fondation Pachamama</w:t>
      </w:r>
      <w:r w:rsidR="00121BC7">
        <w:t xml:space="preserve">, </w:t>
      </w:r>
      <w:r w:rsidR="00D33321">
        <w:t xml:space="preserve">une ONG internationale et nationale qui </w:t>
      </w:r>
      <w:r w:rsidR="00D33321" w:rsidRPr="006347FA">
        <w:t>représent</w:t>
      </w:r>
      <w:r w:rsidR="003E7E5B" w:rsidRPr="006347FA">
        <w:t>ait</w:t>
      </w:r>
      <w:r w:rsidR="00D33321" w:rsidRPr="006347FA">
        <w:t xml:space="preserve"> un fer</w:t>
      </w:r>
      <w:r w:rsidR="00D33321">
        <w:t xml:space="preserve"> de lance dans la lutte pour le non-extractivisme</w:t>
      </w:r>
      <w:r w:rsidR="00485652">
        <w:t xml:space="preserve">, </w:t>
      </w:r>
      <w:r w:rsidR="009A1FC8">
        <w:t>a illustré, une fois de plus,</w:t>
      </w:r>
      <w:r w:rsidR="00485652">
        <w:t xml:space="preserve"> la propension des gouvernements, de gauche comme de droite, à réprimer la « protesta » et </w:t>
      </w:r>
      <w:r w:rsidR="009A1FC8">
        <w:t xml:space="preserve">à </w:t>
      </w:r>
      <w:r w:rsidR="00485652">
        <w:t>discréditer les ONG internationales</w:t>
      </w:r>
      <w:r w:rsidR="00BF1E50">
        <w:t>.</w:t>
      </w:r>
      <w:r w:rsidR="00405AD5">
        <w:t xml:space="preserve"> Dans le débat qui fait rage au sein de la gauche sur </w:t>
      </w:r>
      <w:r w:rsidR="00626797">
        <w:t xml:space="preserve">l’Initiative </w:t>
      </w:r>
      <w:r w:rsidR="00405AD5">
        <w:t>Yasuni-ITT, non seulement en Équateur mais dans l’ensemble de la région</w:t>
      </w:r>
      <w:r w:rsidR="00485652">
        <w:t xml:space="preserve"> de l’ALC</w:t>
      </w:r>
      <w:r w:rsidR="00405AD5">
        <w:t xml:space="preserve">, </w:t>
      </w:r>
      <w:r w:rsidR="002254AA">
        <w:t xml:space="preserve">l’opposition </w:t>
      </w:r>
      <w:r w:rsidR="00405AD5">
        <w:t xml:space="preserve">à </w:t>
      </w:r>
      <w:r w:rsidR="00405AD5">
        <w:lastRenderedPageBreak/>
        <w:t>Correa  lui reproche</w:t>
      </w:r>
      <w:r w:rsidR="00D71829">
        <w:t xml:space="preserve"> à répétition</w:t>
      </w:r>
      <w:r w:rsidR="00405AD5">
        <w:t xml:space="preserve"> d’être </w:t>
      </w:r>
      <w:r w:rsidR="00D51817">
        <w:t>« </w:t>
      </w:r>
      <w:r w:rsidR="00405AD5">
        <w:t>extractiviste</w:t>
      </w:r>
      <w:r w:rsidR="00D51817">
        <w:t> »</w:t>
      </w:r>
      <w:r w:rsidR="00405AD5">
        <w:t xml:space="preserve"> et </w:t>
      </w:r>
      <w:r w:rsidR="00D51817">
        <w:t>« </w:t>
      </w:r>
      <w:r w:rsidR="00405AD5">
        <w:t>néoextractiviste</w:t>
      </w:r>
      <w:r w:rsidR="00D51817">
        <w:t> »</w:t>
      </w:r>
      <w:r w:rsidR="00405AD5">
        <w:t xml:space="preserve">, </w:t>
      </w:r>
      <w:r w:rsidR="002254AA">
        <w:t>à l’encontre</w:t>
      </w:r>
      <w:r w:rsidR="00405AD5">
        <w:t xml:space="preserve"> des droits de la nature et le la Mère Terre</w:t>
      </w:r>
      <w:r w:rsidR="00485652">
        <w:t>,</w:t>
      </w:r>
      <w:r w:rsidR="00405AD5">
        <w:t xml:space="preserve"> affirmés dans la Constitution</w:t>
      </w:r>
      <w:r w:rsidR="00D33321">
        <w:t xml:space="preserve"> </w:t>
      </w:r>
      <w:r w:rsidR="00357818">
        <w:t>(</w:t>
      </w:r>
      <w:r w:rsidR="00A22EE6">
        <w:t>SENPLADES, 2009;</w:t>
      </w:r>
      <w:r w:rsidR="009A1FC8">
        <w:t xml:space="preserve"> Ramirez, 2012;</w:t>
      </w:r>
      <w:r w:rsidR="00A22EE6">
        <w:t xml:space="preserve"> </w:t>
      </w:r>
      <w:r w:rsidR="00626797">
        <w:t xml:space="preserve">Lang et Mokrani, 2011; </w:t>
      </w:r>
      <w:r w:rsidR="00357818">
        <w:t>Gudynas, 2013b</w:t>
      </w:r>
      <w:r w:rsidR="00626797">
        <w:t xml:space="preserve"> et 2013c</w:t>
      </w:r>
      <w:r w:rsidR="00357818">
        <w:t xml:space="preserve">; </w:t>
      </w:r>
      <w:r w:rsidR="00626797">
        <w:t xml:space="preserve">Acosta et Machado, 2012; </w:t>
      </w:r>
      <w:r w:rsidR="00357818">
        <w:t>Acosta, 2013</w:t>
      </w:r>
      <w:r w:rsidR="00D33967">
        <w:t>; De La Torre, 2013</w:t>
      </w:r>
      <w:r w:rsidR="00303C2D">
        <w:t>; Harnecker, 2011; Ospina Peralta, 2011, 2012 et 2013</w:t>
      </w:r>
      <w:r w:rsidR="009F37B8">
        <w:t>; Houtart, 2014</w:t>
      </w:r>
      <w:r w:rsidR="00691D94">
        <w:t>).</w:t>
      </w:r>
    </w:p>
    <w:p w14:paraId="5CA25A44" w14:textId="77777777" w:rsidR="00BA7293" w:rsidRDefault="00BA7293" w:rsidP="00C05FAC">
      <w:pPr>
        <w:rPr>
          <w:highlight w:val="yellow"/>
        </w:rPr>
      </w:pPr>
    </w:p>
    <w:p w14:paraId="5B6DD1AC" w14:textId="77777777" w:rsidR="0068165B" w:rsidRDefault="00D71829" w:rsidP="00C05FAC">
      <w:r>
        <w:t xml:space="preserve">Plusieurs autres exemples pourraient être ajoutés aux </w:t>
      </w:r>
      <w:r w:rsidR="0068165B" w:rsidRPr="00775024">
        <w:t xml:space="preserve">deux </w:t>
      </w:r>
      <w:r>
        <w:t>que nous avons</w:t>
      </w:r>
      <w:r w:rsidR="0068165B" w:rsidRPr="00775024">
        <w:t xml:space="preserve"> </w:t>
      </w:r>
      <w:r>
        <w:t>présent</w:t>
      </w:r>
      <w:r w:rsidR="00775024">
        <w:t>és</w:t>
      </w:r>
      <w:r>
        <w:t>.</w:t>
      </w:r>
      <w:r w:rsidR="008130E8">
        <w:rPr>
          <w:rStyle w:val="Marquenotebasdepage"/>
        </w:rPr>
        <w:footnoteReference w:id="40"/>
      </w:r>
      <w:r>
        <w:t xml:space="preserve"> </w:t>
      </w:r>
      <w:r w:rsidR="004A5434">
        <w:t>Cela permettrait de mieux mesurer l’intensité de la polarisation au sein de la gauche et de saisir qu’elle se manifeste dans d’autres domaines de politiques publiques que celui du développement des ressources naturelles</w:t>
      </w:r>
      <w:r w:rsidR="004A5434">
        <w:rPr>
          <w:rStyle w:val="Marquenotebasdepage"/>
        </w:rPr>
        <w:footnoteReference w:id="41"/>
      </w:r>
      <w:r w:rsidR="004A5434">
        <w:t>. Mais cela ne modifierait pas la ligne de notre argumentation</w:t>
      </w:r>
      <w:r w:rsidR="00055100">
        <w:t xml:space="preserve"> concernant les difficultés vécues présentement en Bolivie et en Équateur au chapitre de la co-construction démocratique des politiques publiques</w:t>
      </w:r>
      <w:r w:rsidR="00C90A05">
        <w:t xml:space="preserve">. </w:t>
      </w:r>
      <w:r w:rsidR="00AC3D85">
        <w:t>Notre préoccupation est de faire</w:t>
      </w:r>
      <w:r w:rsidR="00303C2D">
        <w:t xml:space="preserve"> ressortir </w:t>
      </w:r>
      <w:r w:rsidR="00CA02FE">
        <w:t xml:space="preserve">que </w:t>
      </w:r>
      <w:r w:rsidR="00303C2D">
        <w:t xml:space="preserve">les polarisations au sein de la gauche, </w:t>
      </w:r>
      <w:r w:rsidR="00303C2D" w:rsidRPr="003D1A12">
        <w:t xml:space="preserve">illustrées </w:t>
      </w:r>
      <w:r w:rsidR="00D54842" w:rsidRPr="003D1A12">
        <w:t>par des</w:t>
      </w:r>
      <w:r w:rsidR="00303C2D" w:rsidRPr="003D1A12">
        <w:t xml:space="preserve"> affrontements </w:t>
      </w:r>
      <w:r w:rsidR="00D54842" w:rsidRPr="003D1A12">
        <w:t>autour de</w:t>
      </w:r>
      <w:r w:rsidR="00303C2D">
        <w:t xml:space="preserve"> l’exploitation des ressources naturelles</w:t>
      </w:r>
      <w:r w:rsidR="00CA02FE">
        <w:t>,</w:t>
      </w:r>
      <w:r w:rsidR="00303C2D">
        <w:t xml:space="preserve"> </w:t>
      </w:r>
      <w:r w:rsidR="00CA02FE">
        <w:t>freinent la co-construction démocratique et empêchent les</w:t>
      </w:r>
      <w:r w:rsidR="00303C2D">
        <w:t xml:space="preserve"> délibérations publiques</w:t>
      </w:r>
      <w:r w:rsidR="00CA02FE">
        <w:t xml:space="preserve"> d’être</w:t>
      </w:r>
      <w:r w:rsidR="00303C2D">
        <w:t xml:space="preserve"> </w:t>
      </w:r>
      <w:r w:rsidR="00CA02FE">
        <w:t>aussi</w:t>
      </w:r>
      <w:r w:rsidR="00303C2D">
        <w:t xml:space="preserve"> démocratiques et productives</w:t>
      </w:r>
      <w:r w:rsidR="007D1CB6">
        <w:t xml:space="preserve"> qu’elles pourr</w:t>
      </w:r>
      <w:r w:rsidR="00CA02FE">
        <w:t>aient l’être</w:t>
      </w:r>
      <w:r w:rsidR="00303C2D">
        <w:t xml:space="preserve">. </w:t>
      </w:r>
    </w:p>
    <w:p w14:paraId="1F118DB3" w14:textId="77777777" w:rsidR="001752F0" w:rsidRDefault="001752F0" w:rsidP="00A505DA"/>
    <w:p w14:paraId="7F75DA2D" w14:textId="77777777" w:rsidR="00060132" w:rsidRDefault="002705E3" w:rsidP="003F05C8">
      <w:r>
        <w:t xml:space="preserve">Comment expliquer </w:t>
      </w:r>
      <w:r w:rsidR="00DB3F70">
        <w:t xml:space="preserve">et dénouer </w:t>
      </w:r>
      <w:r>
        <w:t xml:space="preserve">cette polarisation? </w:t>
      </w:r>
      <w:r w:rsidR="00F74247" w:rsidRPr="002705E3">
        <w:t>Comment départager les</w:t>
      </w:r>
      <w:r w:rsidR="00646B8A" w:rsidRPr="002705E3">
        <w:t xml:space="preserve"> responsabilités</w:t>
      </w:r>
      <w:r w:rsidR="006C29A0" w:rsidRPr="00F74247">
        <w:t xml:space="preserve"> entre les </w:t>
      </w:r>
      <w:r>
        <w:t>protagonistes concernés</w:t>
      </w:r>
      <w:r w:rsidR="00F74247">
        <w:t xml:space="preserve">? </w:t>
      </w:r>
      <w:r>
        <w:t xml:space="preserve">Nous ne voulons pas vider ces </w:t>
      </w:r>
      <w:r w:rsidR="002E01B8">
        <w:t>question</w:t>
      </w:r>
      <w:r>
        <w:t>s</w:t>
      </w:r>
      <w:r w:rsidR="002E01B8">
        <w:t xml:space="preserve"> ici</w:t>
      </w:r>
      <w:r w:rsidR="00445AB5">
        <w:rPr>
          <w:rStyle w:val="Marquenotebasdepage"/>
        </w:rPr>
        <w:footnoteReference w:id="42"/>
      </w:r>
      <w:r w:rsidR="00DB3F70">
        <w:t>. Toutefois, nous pouvons quand même dire que</w:t>
      </w:r>
      <w:r>
        <w:t xml:space="preserve"> </w:t>
      </w:r>
      <w:r w:rsidR="00DB3F70">
        <w:t>nous sommes réticents</w:t>
      </w:r>
      <w:r>
        <w:t xml:space="preserve"> vis-à-vis les explications et propositions qui attribuerai</w:t>
      </w:r>
      <w:r w:rsidR="004F76FB">
        <w:t>en</w:t>
      </w:r>
      <w:r>
        <w:t xml:space="preserve">t </w:t>
      </w:r>
      <w:r w:rsidRPr="003D1A12">
        <w:t>les principales responsabilités à la gauche</w:t>
      </w:r>
      <w:r>
        <w:t xml:space="preserve"> gouvernementale ou à la gauche non gouvernementale</w:t>
      </w:r>
      <w:r w:rsidR="002E01B8">
        <w:t xml:space="preserve">. </w:t>
      </w:r>
      <w:r w:rsidR="00DB3F70">
        <w:t xml:space="preserve">Dans un sens comme dans l’autre, nous passerions à côté </w:t>
      </w:r>
      <w:r w:rsidR="004F76FB">
        <w:t>de la possibilité de réunir les condi</w:t>
      </w:r>
      <w:r w:rsidR="00476BAE">
        <w:t>ti</w:t>
      </w:r>
      <w:r w:rsidR="00B142C6">
        <w:t>ons permettant de restaurer le</w:t>
      </w:r>
      <w:r w:rsidR="00476BAE">
        <w:t xml:space="preserve"> minimum</w:t>
      </w:r>
      <w:r w:rsidR="004F76FB">
        <w:t xml:space="preserve"> de conf</w:t>
      </w:r>
      <w:r w:rsidR="00476BAE">
        <w:t>iance et de dialogue nécessaire</w:t>
      </w:r>
      <w:r w:rsidR="004F76FB">
        <w:t xml:space="preserve"> pour que la co-construction </w:t>
      </w:r>
      <w:r w:rsidR="00476BAE">
        <w:t>s’enclenche</w:t>
      </w:r>
      <w:r w:rsidR="004F76FB">
        <w:t>. Ceci étant dit, il faut quand même entendre certain</w:t>
      </w:r>
      <w:r w:rsidR="00B142C6">
        <w:t>e</w:t>
      </w:r>
      <w:r w:rsidR="004F76FB">
        <w:t xml:space="preserve">s critiques et répliques qui circulent en provenance des deux camps, quitte à s’efforcer par la suite de faire la part des choses. Faisons-le en nous en tenant pour le moment au cas de la polarisation en Équateur. </w:t>
      </w:r>
    </w:p>
    <w:p w14:paraId="673FDB7E" w14:textId="77777777" w:rsidR="003F3781" w:rsidRDefault="003F3781" w:rsidP="003F05C8"/>
    <w:p w14:paraId="17D46763" w14:textId="77777777" w:rsidR="00060132" w:rsidRDefault="00060132" w:rsidP="003F05C8">
      <w:r>
        <w:t xml:space="preserve">Quelles sont les critiques </w:t>
      </w:r>
      <w:r w:rsidR="006A0E94">
        <w:t>formulées</w:t>
      </w:r>
      <w:r>
        <w:t xml:space="preserve"> le plus souvent </w:t>
      </w:r>
      <w:r w:rsidR="006A0E94">
        <w:t>par la</w:t>
      </w:r>
      <w:r>
        <w:t xml:space="preserve"> gauche </w:t>
      </w:r>
      <w:r w:rsidR="006A0E94">
        <w:t xml:space="preserve">non </w:t>
      </w:r>
      <w:r>
        <w:t>gouvernementale en Équateur?</w:t>
      </w:r>
    </w:p>
    <w:p w14:paraId="4A8F090C" w14:textId="77777777" w:rsidR="00060132" w:rsidRDefault="00060132" w:rsidP="003F05C8"/>
    <w:p w14:paraId="6C5AE128" w14:textId="77777777" w:rsidR="00F129CB" w:rsidRDefault="00BA01A3" w:rsidP="00F129CB">
      <w:pPr>
        <w:pStyle w:val="Paragraphedeliste"/>
        <w:numPr>
          <w:ilvl w:val="0"/>
          <w:numId w:val="38"/>
        </w:numPr>
      </w:pPr>
      <w:r>
        <w:t>Plusieurs critiques mettent l’accent sur certains traits de caractère du</w:t>
      </w:r>
      <w:r w:rsidR="00060132">
        <w:t xml:space="preserve"> président</w:t>
      </w:r>
      <w:r>
        <w:t>.</w:t>
      </w:r>
      <w:r w:rsidR="00060132">
        <w:t xml:space="preserve"> </w:t>
      </w:r>
      <w:r>
        <w:t xml:space="preserve">On </w:t>
      </w:r>
      <w:r w:rsidR="009C1891">
        <w:t xml:space="preserve">se réfère </w:t>
      </w:r>
      <w:r>
        <w:t>à</w:t>
      </w:r>
      <w:r w:rsidR="00F129CB">
        <w:t xml:space="preserve"> son tempéramen</w:t>
      </w:r>
      <w:r>
        <w:t>t abrasif, tranchant</w:t>
      </w:r>
      <w:r w:rsidR="009C1891">
        <w:t>, enclin à la provocation</w:t>
      </w:r>
      <w:r>
        <w:t xml:space="preserve"> et </w:t>
      </w:r>
      <w:r w:rsidR="006A0E94">
        <w:t xml:space="preserve">cassant. </w:t>
      </w:r>
      <w:r>
        <w:t xml:space="preserve">On lui reproche </w:t>
      </w:r>
      <w:r w:rsidR="009C1891">
        <w:t xml:space="preserve">d’intervenir </w:t>
      </w:r>
      <w:r>
        <w:t xml:space="preserve">souvent dans les débats avec un style arrogant et provocateur. </w:t>
      </w:r>
      <w:r w:rsidR="006A0E94">
        <w:t>Ce trait de caractère se manifeste</w:t>
      </w:r>
      <w:r w:rsidR="00F129CB">
        <w:t xml:space="preserve"> </w:t>
      </w:r>
      <w:r>
        <w:t xml:space="preserve">non seulement dans ses rapports avec des adversaires politiques, mais aussi </w:t>
      </w:r>
      <w:r w:rsidRPr="003D1A12">
        <w:t xml:space="preserve">dans ses </w:t>
      </w:r>
      <w:r w:rsidR="00F129CB" w:rsidRPr="003D1A12">
        <w:t>interactions</w:t>
      </w:r>
      <w:r w:rsidR="00F129CB">
        <w:t xml:space="preserve"> avec ses propres collaborateurs</w:t>
      </w:r>
      <w:r>
        <w:t>. Cette tendance</w:t>
      </w:r>
      <w:r w:rsidR="00F129CB">
        <w:t xml:space="preserve"> à prendre toute la place</w:t>
      </w:r>
      <w:r>
        <w:t xml:space="preserve"> a pour effet d’exclure des processus de </w:t>
      </w:r>
      <w:r w:rsidR="009C1891">
        <w:t xml:space="preserve">prise de décision d’autres </w:t>
      </w:r>
      <w:r>
        <w:t>personnes qui peuvent être dans son conseil des ministres, dans l’institution présidentielle, dans l’Assemblée législative, dans son caucus politique</w:t>
      </w:r>
      <w:r w:rsidR="009C1891">
        <w:t>, dans une assemblée publique</w:t>
      </w:r>
      <w:r>
        <w:t xml:space="preserve"> et, évidemment</w:t>
      </w:r>
      <w:r w:rsidR="009C1891">
        <w:t>,</w:t>
      </w:r>
      <w:r>
        <w:t xml:space="preserve"> dans les mouvements sociaux, les partis </w:t>
      </w:r>
      <w:r w:rsidR="009C1891">
        <w:lastRenderedPageBreak/>
        <w:t xml:space="preserve">d’opposition </w:t>
      </w:r>
      <w:r>
        <w:t>et la société civile en général</w:t>
      </w:r>
      <w:r w:rsidR="00F129CB">
        <w:t xml:space="preserve">. </w:t>
      </w:r>
      <w:r w:rsidR="009C1891">
        <w:t>Cette façon d’agir</w:t>
      </w:r>
      <w:r w:rsidR="00F129CB">
        <w:t xml:space="preserve"> a pour effet de « rendre invisibles » ou de « satelliser » ses propres collaborateurs, comme Correa l’a</w:t>
      </w:r>
      <w:r>
        <w:t xml:space="preserve"> d’ailleurs lui-même</w:t>
      </w:r>
      <w:r w:rsidR="00F129CB">
        <w:t xml:space="preserve"> reconnu dans un rare moment d’auto-critique</w:t>
      </w:r>
      <w:r w:rsidR="009C1891">
        <w:t>,</w:t>
      </w:r>
      <w:r w:rsidR="00F129CB">
        <w:t xml:space="preserve"> au lendemain des élections municipales de février 2014 </w:t>
      </w:r>
      <w:r w:rsidR="00F129CB" w:rsidRPr="00B16C24">
        <w:t>(</w:t>
      </w:r>
      <w:r w:rsidR="0031586C" w:rsidRPr="0032341F">
        <w:t>Leó</w:t>
      </w:r>
      <w:r w:rsidR="00C74D73" w:rsidRPr="0032341F">
        <w:t>n</w:t>
      </w:r>
      <w:r w:rsidR="00B16C24" w:rsidRPr="00B16C24">
        <w:t xml:space="preserve"> Trujillo, 2014</w:t>
      </w:r>
      <w:r w:rsidR="00F129CB" w:rsidRPr="00B16C24">
        <w:t>).</w:t>
      </w:r>
    </w:p>
    <w:p w14:paraId="757CA687" w14:textId="77777777" w:rsidR="006A0E94" w:rsidRDefault="006A0E94" w:rsidP="006A0E94"/>
    <w:p w14:paraId="4A0D7191" w14:textId="77777777" w:rsidR="006A0E94" w:rsidRDefault="00654891" w:rsidP="006A0E94">
      <w:pPr>
        <w:pStyle w:val="Paragraphedeliste"/>
        <w:numPr>
          <w:ilvl w:val="0"/>
          <w:numId w:val="38"/>
        </w:numPr>
      </w:pPr>
      <w:r>
        <w:t>Il est souvent fait mention de l</w:t>
      </w:r>
      <w:r w:rsidR="00F129CB">
        <w:t>’hyper</w:t>
      </w:r>
      <w:r>
        <w:t>-</w:t>
      </w:r>
      <w:r w:rsidR="00F129CB">
        <w:t>présidentialisme.</w:t>
      </w:r>
      <w:r w:rsidR="006A0E94">
        <w:t xml:space="preserve"> De La Torre (2013), à la suite de plusieurs</w:t>
      </w:r>
      <w:r w:rsidR="00B26B69">
        <w:t xml:space="preserve"> analystes</w:t>
      </w:r>
      <w:r w:rsidR="006A0E94">
        <w:t>, affirme que l’Équateur « </w:t>
      </w:r>
      <w:r w:rsidR="00B26B69">
        <w:t>va de l’avant en empruntant un parcours de plus en plus autoritaire</w:t>
      </w:r>
      <w:r>
        <w:t> » et que Correa cherche à concentrer</w:t>
      </w:r>
      <w:r w:rsidR="006A0E94">
        <w:t xml:space="preserve"> le pouvoir autour de sa personne et de la présidence avec un style souvent qualifié d’« hyperpersonnaliste, compétitif et autoritaire »</w:t>
      </w:r>
      <w:r w:rsidR="006A0E94">
        <w:rPr>
          <w:lang w:eastAsia="es-ES_tradnl"/>
        </w:rPr>
        <w:t xml:space="preserve">., </w:t>
      </w:r>
      <w:r w:rsidR="00C12494">
        <w:rPr>
          <w:lang w:eastAsia="es-ES_tradnl"/>
        </w:rPr>
        <w:t>En fait, le problème avec l’hyperprésidentialisme,</w:t>
      </w:r>
      <w:r>
        <w:rPr>
          <w:lang w:eastAsia="es-ES_tradnl"/>
        </w:rPr>
        <w:t xml:space="preserve"> un phénomène qui était déjà favorisé par le partage des pouvoirs entre l’exécutif et le législatif aménagé dans la Constitution de 2008 et qui a été accentué au fil des ans par les initiatives prises par le président pour s’accaparer une plus grande</w:t>
      </w:r>
      <w:r w:rsidR="0031586C">
        <w:rPr>
          <w:lang w:eastAsia="es-ES_tradnl"/>
        </w:rPr>
        <w:t xml:space="preserve"> concentration des pouvoirs (</w:t>
      </w:r>
      <w:r w:rsidR="0031586C" w:rsidRPr="0032341F">
        <w:rPr>
          <w:lang w:eastAsia="es-ES_tradnl"/>
        </w:rPr>
        <w:t>Leó</w:t>
      </w:r>
      <w:r w:rsidRPr="0032341F">
        <w:rPr>
          <w:lang w:eastAsia="es-ES_tradnl"/>
        </w:rPr>
        <w:t>n</w:t>
      </w:r>
      <w:r>
        <w:rPr>
          <w:lang w:eastAsia="es-ES_tradnl"/>
        </w:rPr>
        <w:t xml:space="preserve"> Trujillo, 2009; La Tendencia, 2011). Si bien,  </w:t>
      </w:r>
      <w:r w:rsidR="00C12494">
        <w:rPr>
          <w:lang w:eastAsia="es-ES_tradnl"/>
        </w:rPr>
        <w:t xml:space="preserve">que </w:t>
      </w:r>
      <w:r w:rsidR="00CA3245">
        <w:t xml:space="preserve">le « véritable législateur </w:t>
      </w:r>
      <w:r w:rsidR="00B26B69">
        <w:t>semble être</w:t>
      </w:r>
      <w:r w:rsidR="00CA3245">
        <w:t xml:space="preserve"> le Président de la République » e</w:t>
      </w:r>
      <w:r w:rsidR="006A0E94">
        <w:t>t non pas l’Assemblée nationale</w:t>
      </w:r>
      <w:r w:rsidR="00C12494">
        <w:t xml:space="preserve">, </w:t>
      </w:r>
      <w:r>
        <w:t xml:space="preserve">pour reprendre une </w:t>
      </w:r>
      <w:r w:rsidR="00FD4BCF">
        <w:t>critique</w:t>
      </w:r>
      <w:r>
        <w:t xml:space="preserve"> </w:t>
      </w:r>
      <w:r w:rsidR="0007035E">
        <w:t xml:space="preserve">Paco </w:t>
      </w:r>
      <w:r>
        <w:t>Moncayo</w:t>
      </w:r>
      <w:r w:rsidR="00723592">
        <w:t xml:space="preserve">, ancien député et </w:t>
      </w:r>
      <w:r w:rsidR="00B26B69">
        <w:t xml:space="preserve">ancien </w:t>
      </w:r>
      <w:r w:rsidR="00723592">
        <w:t>maire de Quito</w:t>
      </w:r>
      <w:r w:rsidR="004E41D7">
        <w:t xml:space="preserve"> (ANDES, 2010; La Hora, 2010)</w:t>
      </w:r>
      <w:r w:rsidR="006A0E94">
        <w:t xml:space="preserve">. </w:t>
      </w:r>
    </w:p>
    <w:p w14:paraId="00CAB081" w14:textId="77777777" w:rsidR="00C12494" w:rsidRDefault="00C12494" w:rsidP="00C12494"/>
    <w:p w14:paraId="7AE1FCC2" w14:textId="77777777" w:rsidR="00C300A2" w:rsidRDefault="00D23F58" w:rsidP="00882473">
      <w:pPr>
        <w:pStyle w:val="Paragraphedeliste"/>
        <w:numPr>
          <w:ilvl w:val="0"/>
          <w:numId w:val="38"/>
        </w:numPr>
      </w:pPr>
      <w:r w:rsidRPr="00775024">
        <w:t>Pablo Ospina Peralta</w:t>
      </w:r>
      <w:r>
        <w:t xml:space="preserve"> (2011</w:t>
      </w:r>
      <w:r w:rsidR="00C95F89">
        <w:t xml:space="preserve"> et 2012</w:t>
      </w:r>
      <w:r w:rsidR="008A1976">
        <w:t>)</w:t>
      </w:r>
      <w:r w:rsidR="00C12494">
        <w:t xml:space="preserve"> </w:t>
      </w:r>
      <w:r w:rsidR="00CA3245">
        <w:t xml:space="preserve">offre un éclairage </w:t>
      </w:r>
      <w:r w:rsidR="00DB3F70">
        <w:t>politique</w:t>
      </w:r>
      <w:r w:rsidR="00C12494">
        <w:t xml:space="preserve"> original</w:t>
      </w:r>
      <w:r w:rsidR="008A1976">
        <w:t xml:space="preserve"> sur la contradiction qui s’instaure entre le gouvernement</w:t>
      </w:r>
      <w:r w:rsidR="003D115C">
        <w:t xml:space="preserve"> de Correa et la société civile</w:t>
      </w:r>
      <w:r w:rsidR="00C300A2">
        <w:t>,</w:t>
      </w:r>
      <w:r w:rsidR="003D115C">
        <w:t xml:space="preserve"> </w:t>
      </w:r>
      <w:r w:rsidR="0048338A">
        <w:t>en attirant l’attention sur le fait que</w:t>
      </w:r>
      <w:r w:rsidR="003D115C">
        <w:t xml:space="preserve"> ce</w:t>
      </w:r>
      <w:r w:rsidR="008A1976">
        <w:t xml:space="preserve"> gouvernement</w:t>
      </w:r>
      <w:r w:rsidR="003D115C">
        <w:t xml:space="preserve"> </w:t>
      </w:r>
      <w:r w:rsidR="0048338A">
        <w:t xml:space="preserve">progressiste </w:t>
      </w:r>
      <w:r w:rsidR="008A1976">
        <w:t xml:space="preserve">lance </w:t>
      </w:r>
      <w:r w:rsidR="0048338A">
        <w:t xml:space="preserve">constamment </w:t>
      </w:r>
      <w:r w:rsidR="008A1976">
        <w:t xml:space="preserve">des </w:t>
      </w:r>
      <w:r w:rsidR="00261DFA">
        <w:t>« </w:t>
      </w:r>
      <w:r w:rsidR="008A1976" w:rsidRPr="006D526B">
        <w:t>politiques disciplinaires </w:t>
      </w:r>
      <w:r w:rsidR="008A1976" w:rsidRPr="006A0E94">
        <w:rPr>
          <w:i/>
        </w:rPr>
        <w:t>»</w:t>
      </w:r>
      <w:r w:rsidR="008A1976">
        <w:t xml:space="preserve"> pour encadrer, discipliner et contrôler </w:t>
      </w:r>
      <w:r w:rsidR="0048338A">
        <w:t>diverses</w:t>
      </w:r>
      <w:r w:rsidR="008A1976">
        <w:t xml:space="preserve"> composantes particulières de la société civile (fonctionnaires, enseignants, médecins, journalistes etc.) et même de la société politique (ses ministres, les memb</w:t>
      </w:r>
      <w:r w:rsidR="003D115C">
        <w:t xml:space="preserve">res de sa formation politique). </w:t>
      </w:r>
      <w:r w:rsidR="00C300A2">
        <w:t xml:space="preserve">Tout cela au nom de l’efficacité technocratique, </w:t>
      </w:r>
      <w:r w:rsidR="008A1976">
        <w:t>sous prétexte</w:t>
      </w:r>
      <w:r w:rsidR="007A3032">
        <w:t xml:space="preserve"> de</w:t>
      </w:r>
      <w:r w:rsidR="008A1976">
        <w:t xml:space="preserve"> rendre</w:t>
      </w:r>
      <w:r w:rsidR="00C300A2">
        <w:t xml:space="preserve"> les travailleurs et les citoyens</w:t>
      </w:r>
      <w:r w:rsidR="008A1976">
        <w:t xml:space="preserve"> plus productifs</w:t>
      </w:r>
      <w:r w:rsidR="00C300A2">
        <w:t xml:space="preserve"> </w:t>
      </w:r>
      <w:r w:rsidR="0048338A">
        <w:t>en suivant</w:t>
      </w:r>
      <w:r w:rsidR="00D70700">
        <w:t xml:space="preserve"> les règles </w:t>
      </w:r>
      <w:r w:rsidR="00B55C50">
        <w:t>de la Nouvelle gestion publique (NGP)</w:t>
      </w:r>
      <w:r w:rsidR="008A1976">
        <w:t>.</w:t>
      </w:r>
      <w:r w:rsidR="00C1691A">
        <w:t xml:space="preserve"> </w:t>
      </w:r>
      <w:r w:rsidR="0048338A">
        <w:t>Comment réconcilier une telle</w:t>
      </w:r>
      <w:r w:rsidR="00C300A2">
        <w:t xml:space="preserve"> politique disciplinaire avec la confiance à établir </w:t>
      </w:r>
      <w:r w:rsidR="0048338A">
        <w:t xml:space="preserve">dans les relations </w:t>
      </w:r>
      <w:r w:rsidR="00C300A2">
        <w:t>entre l’État et les citoyens, entre un gouvernement progressiste et les mouvements sociaux</w:t>
      </w:r>
      <w:r w:rsidR="0048338A">
        <w:t>, dans une société où le Président et son gouvernement parlent quotidiennement</w:t>
      </w:r>
      <w:r w:rsidR="00C300A2">
        <w:t xml:space="preserve"> </w:t>
      </w:r>
      <w:r w:rsidR="0048338A">
        <w:t>des avancées de</w:t>
      </w:r>
      <w:r w:rsidR="00C300A2">
        <w:t xml:space="preserve"> la « révolution citoyenne » et </w:t>
      </w:r>
      <w:r w:rsidR="0048338A">
        <w:t xml:space="preserve">de la « planification participative » </w:t>
      </w:r>
      <w:r w:rsidR="00C300A2">
        <w:t>?</w:t>
      </w:r>
    </w:p>
    <w:p w14:paraId="4AAA8BA6" w14:textId="77777777" w:rsidR="006A0E94" w:rsidRDefault="006A0E94" w:rsidP="006A0E94"/>
    <w:p w14:paraId="0BBC3759" w14:textId="77777777" w:rsidR="006A0E94" w:rsidRDefault="007B2F47" w:rsidP="00882473">
      <w:pPr>
        <w:pStyle w:val="Paragraphedeliste"/>
        <w:numPr>
          <w:ilvl w:val="0"/>
          <w:numId w:val="38"/>
        </w:numPr>
      </w:pPr>
      <w:r>
        <w:t>Toutefois, c</w:t>
      </w:r>
      <w:r w:rsidR="0048338A">
        <w:t xml:space="preserve">omme nous l’avons </w:t>
      </w:r>
      <w:r>
        <w:t>vu</w:t>
      </w:r>
      <w:r w:rsidR="0048338A">
        <w:t xml:space="preserve"> plus haut, l</w:t>
      </w:r>
      <w:r w:rsidR="006A0E94">
        <w:t xml:space="preserve">e principal grief </w:t>
      </w:r>
      <w:r w:rsidR="0048338A">
        <w:t>adressé par la gauche non gouvernementale à la gauche gouvernementale</w:t>
      </w:r>
      <w:r w:rsidR="006A0E94">
        <w:t xml:space="preserve">, </w:t>
      </w:r>
      <w:r>
        <w:t>sur le plan</w:t>
      </w:r>
      <w:r w:rsidR="006A0E94">
        <w:t xml:space="preserve"> des ressources naturelles, </w:t>
      </w:r>
      <w:r w:rsidR="0048338A">
        <w:t xml:space="preserve">demeure </w:t>
      </w:r>
      <w:r>
        <w:t xml:space="preserve">celui </w:t>
      </w:r>
      <w:r w:rsidR="006A0E94">
        <w:t>de promouvoir une politique extractiviste et néoextr</w:t>
      </w:r>
      <w:r>
        <w:t>activiste</w:t>
      </w:r>
      <w:r w:rsidR="006A0E94">
        <w:t xml:space="preserve">. </w:t>
      </w:r>
    </w:p>
    <w:p w14:paraId="4EA41537" w14:textId="77777777" w:rsidR="00882473" w:rsidRDefault="00882473" w:rsidP="0019560F"/>
    <w:p w14:paraId="07CECE8D" w14:textId="77777777" w:rsidR="00F62799" w:rsidRPr="003F3781" w:rsidRDefault="006A0E94" w:rsidP="0019560F">
      <w:r w:rsidRPr="003F3781">
        <w:t>Quelles sont les r</w:t>
      </w:r>
      <w:r w:rsidR="007A0312" w:rsidRPr="003F3781">
        <w:t xml:space="preserve">épliques de </w:t>
      </w:r>
      <w:r w:rsidR="00DB3F70" w:rsidRPr="003F3781">
        <w:t>la gauche gouvernementale</w:t>
      </w:r>
      <w:r w:rsidR="003F3781">
        <w:t xml:space="preserve"> à ces critiques de la gauche non gouvernementale</w:t>
      </w:r>
      <w:r w:rsidRPr="003F3781">
        <w:t xml:space="preserve">? </w:t>
      </w:r>
    </w:p>
    <w:p w14:paraId="23D6BC75" w14:textId="77777777" w:rsidR="00F62799" w:rsidRDefault="00F62799" w:rsidP="0019560F"/>
    <w:p w14:paraId="0008A80E" w14:textId="77777777" w:rsidR="0056291C" w:rsidRDefault="00BA623A" w:rsidP="0019560F">
      <w:pPr>
        <w:pStyle w:val="Paragraphedeliste"/>
        <w:numPr>
          <w:ilvl w:val="0"/>
          <w:numId w:val="39"/>
        </w:numPr>
      </w:pPr>
      <w:r>
        <w:t xml:space="preserve">Correa </w:t>
      </w:r>
      <w:r w:rsidR="00031ED6">
        <w:t>répond souvent</w:t>
      </w:r>
      <w:r w:rsidR="007A0312">
        <w:t xml:space="preserve"> à s</w:t>
      </w:r>
      <w:r w:rsidR="006D526B">
        <w:t>es critiques</w:t>
      </w:r>
      <w:r w:rsidR="00BA01A3">
        <w:t xml:space="preserve">, par exemple dans les médias, </w:t>
      </w:r>
      <w:r w:rsidR="00031ED6">
        <w:t xml:space="preserve"> en les qualifiant de « menteurs »</w:t>
      </w:r>
      <w:r>
        <w:t>.</w:t>
      </w:r>
      <w:r w:rsidR="007B2F47">
        <w:t xml:space="preserve"> Il lui arrive souvent d’</w:t>
      </w:r>
      <w:r w:rsidR="0056291C">
        <w:t>associe</w:t>
      </w:r>
      <w:r w:rsidR="007B2F47">
        <w:t>r</w:t>
      </w:r>
      <w:r w:rsidR="0056291C">
        <w:t xml:space="preserve"> à la « gauche opportuniste »</w:t>
      </w:r>
      <w:r w:rsidR="00031ED6">
        <w:t xml:space="preserve">, d’anciens ministre et compagnons de route politiques passés dans l’opposition, tels </w:t>
      </w:r>
      <w:r w:rsidR="0056291C">
        <w:t xml:space="preserve"> </w:t>
      </w:r>
      <w:r w:rsidR="00AE5B2A">
        <w:t>Gu</w:t>
      </w:r>
      <w:r w:rsidR="00031ED6">
        <w:t>stavo Larrea et Alberto Acosta</w:t>
      </w:r>
      <w:r w:rsidR="0056291C">
        <w:t xml:space="preserve">. Il reproche </w:t>
      </w:r>
      <w:r w:rsidR="007B2F47">
        <w:t>à des</w:t>
      </w:r>
      <w:r w:rsidR="0056291C">
        <w:t xml:space="preserve"> dirigeants de la CONAIE</w:t>
      </w:r>
      <w:r w:rsidR="007B2F47">
        <w:t xml:space="preserve"> (comme </w:t>
      </w:r>
      <w:r w:rsidR="00250159">
        <w:t xml:space="preserve">Humberto </w:t>
      </w:r>
      <w:r w:rsidR="007B2F47">
        <w:t>Cholango</w:t>
      </w:r>
      <w:r w:rsidR="00250159">
        <w:t xml:space="preserve"> et Cléver </w:t>
      </w:r>
      <w:r w:rsidR="00250159" w:rsidRPr="0032341F">
        <w:t>Jim</w:t>
      </w:r>
      <w:r w:rsidR="0031586C" w:rsidRPr="0032341F">
        <w:t>é</w:t>
      </w:r>
      <w:r w:rsidR="00250159" w:rsidRPr="0032341F">
        <w:t>nez</w:t>
      </w:r>
      <w:r w:rsidR="007B2F47">
        <w:t>) et de PACHAKUTIK d’avoir été</w:t>
      </w:r>
      <w:r w:rsidR="0056291C">
        <w:t xml:space="preserve"> de mèche avec l’oligarch</w:t>
      </w:r>
      <w:r w:rsidR="00AE5B2A">
        <w:t>i</w:t>
      </w:r>
      <w:r w:rsidR="0056291C">
        <w:t xml:space="preserve">e </w:t>
      </w:r>
      <w:r w:rsidR="00AE5B2A">
        <w:t xml:space="preserve">du pays au moment du </w:t>
      </w:r>
      <w:r w:rsidR="0056291C">
        <w:t>coup d’État manqué du 30 septembre 2010</w:t>
      </w:r>
      <w:r w:rsidR="00250159">
        <w:t xml:space="preserve"> (Lemoyne, 2014)</w:t>
      </w:r>
      <w:r w:rsidR="0056291C">
        <w:t xml:space="preserve">. </w:t>
      </w:r>
    </w:p>
    <w:p w14:paraId="6723C280" w14:textId="77777777" w:rsidR="00BD13C7" w:rsidRDefault="00BD13C7" w:rsidP="0019560F"/>
    <w:p w14:paraId="61E9A927" w14:textId="77777777" w:rsidR="00BD13C7" w:rsidRDefault="00BD13C7" w:rsidP="00BD13C7">
      <w:pPr>
        <w:pStyle w:val="Paragraphedeliste"/>
        <w:numPr>
          <w:ilvl w:val="0"/>
          <w:numId w:val="39"/>
        </w:numPr>
      </w:pPr>
      <w:r>
        <w:lastRenderedPageBreak/>
        <w:t xml:space="preserve">Concernant l’accusation de continuer à promouvoir des politiques extractivistes, Correa réplique </w:t>
      </w:r>
      <w:r w:rsidRPr="003D1A12">
        <w:t>en disant</w:t>
      </w:r>
      <w:r w:rsidR="0038725F" w:rsidRPr="003D1A12">
        <w:t xml:space="preserve"> </w:t>
      </w:r>
      <w:r w:rsidR="00D54842" w:rsidRPr="003D1A12">
        <w:t xml:space="preserve">que </w:t>
      </w:r>
      <w:r w:rsidRPr="003D1A12">
        <w:t>ces</w:t>
      </w:r>
      <w:r w:rsidR="007041A5" w:rsidRPr="003D1A12">
        <w:t xml:space="preserve"> critiques</w:t>
      </w:r>
      <w:r w:rsidR="007041A5">
        <w:t xml:space="preserve"> font preuve « de </w:t>
      </w:r>
      <w:r w:rsidR="0038725F">
        <w:t xml:space="preserve">gauchisme et </w:t>
      </w:r>
      <w:r w:rsidR="007041A5">
        <w:t>d’</w:t>
      </w:r>
      <w:r w:rsidR="0038725F">
        <w:t>écologisme infantil</w:t>
      </w:r>
      <w:r w:rsidR="007041A5">
        <w:t>es</w:t>
      </w:r>
      <w:r w:rsidR="0038725F">
        <w:t> »</w:t>
      </w:r>
      <w:r>
        <w:t xml:space="preserve">, ou encore </w:t>
      </w:r>
      <w:r w:rsidR="00A64FA5">
        <w:t xml:space="preserve">d’un </w:t>
      </w:r>
      <w:r w:rsidR="00C02B48">
        <w:t>« </w:t>
      </w:r>
      <w:r w:rsidR="00A64FA5">
        <w:t>radicalisme écologique » qui confine</w:t>
      </w:r>
      <w:r w:rsidR="00AE5B2A">
        <w:t>nt l’Équateur</w:t>
      </w:r>
      <w:r w:rsidR="00A64FA5">
        <w:t xml:space="preserve"> à l’impossibilité de développer ses ressources naturelles</w:t>
      </w:r>
      <w:r w:rsidR="00AE5B2A">
        <w:t>,</w:t>
      </w:r>
      <w:r w:rsidR="00A64FA5">
        <w:t xml:space="preserve"> un pays qui</w:t>
      </w:r>
      <w:r w:rsidR="00C02B48">
        <w:t>,</w:t>
      </w:r>
      <w:r w:rsidR="00A64FA5">
        <w:t xml:space="preserve"> pourtant</w:t>
      </w:r>
      <w:r w:rsidR="00C02B48">
        <w:t xml:space="preserve">, </w:t>
      </w:r>
      <w:r w:rsidR="00AE5B2A">
        <w:t>reconnait</w:t>
      </w:r>
      <w:r w:rsidR="00C02B48">
        <w:t xml:space="preserve"> les droits de la nature dans sa constitution, la plus verte de l’humanité</w:t>
      </w:r>
      <w:r w:rsidR="0038725F">
        <w:t xml:space="preserve"> (</w:t>
      </w:r>
      <w:r w:rsidR="00E7653E" w:rsidRPr="00087191">
        <w:t>C</w:t>
      </w:r>
      <w:r w:rsidR="00087191" w:rsidRPr="00087191">
        <w:t>orrea, 2010</w:t>
      </w:r>
      <w:r>
        <w:t>). Ou encore</w:t>
      </w:r>
      <w:r w:rsidR="007B2F47">
        <w:t xml:space="preserve"> il réplique avec une question : E</w:t>
      </w:r>
      <w:r w:rsidR="008C238E">
        <w:t>st-ce qu’une politiqu</w:t>
      </w:r>
      <w:r w:rsidR="0081333F">
        <w:t>e non-extractiviste signifie</w:t>
      </w:r>
      <w:r w:rsidR="008C238E">
        <w:t xml:space="preserve"> qu’il faille arriver à « la suspension immédiat</w:t>
      </w:r>
      <w:r w:rsidR="00C300A2">
        <w:t>e de l’exploitation pétrolière </w:t>
      </w:r>
      <w:r w:rsidR="008C238E">
        <w:t>et à</w:t>
      </w:r>
      <w:r>
        <w:t xml:space="preserve"> l’abolition de toute minière »?</w:t>
      </w:r>
      <w:r w:rsidR="008C238E">
        <w:t xml:space="preserve"> </w:t>
      </w:r>
      <w:r w:rsidR="007B2F47">
        <w:t>À cette question, Lalander et Ospina (2012</w:t>
      </w:r>
      <w:r w:rsidR="00DF0478">
        <w:t>)</w:t>
      </w:r>
      <w:r w:rsidR="007B2F47">
        <w:t xml:space="preserve"> répondent que c</w:t>
      </w:r>
      <w:r w:rsidR="008C238E">
        <w:t>e n’est pas ce que demande la majori</w:t>
      </w:r>
      <w:r w:rsidR="007B2F47">
        <w:t>té des organisations indigènes</w:t>
      </w:r>
      <w:r w:rsidR="008C238E">
        <w:t>.</w:t>
      </w:r>
    </w:p>
    <w:p w14:paraId="5C0B1FEC" w14:textId="77777777" w:rsidR="00BD13C7" w:rsidRDefault="00AE5B2A" w:rsidP="00BD13C7">
      <w:r>
        <w:t xml:space="preserve"> </w:t>
      </w:r>
    </w:p>
    <w:p w14:paraId="31D48A03" w14:textId="77777777" w:rsidR="00BD13C7" w:rsidRDefault="00240233" w:rsidP="00BD13C7">
      <w:pPr>
        <w:pStyle w:val="Paragraphedeliste"/>
        <w:numPr>
          <w:ilvl w:val="0"/>
          <w:numId w:val="39"/>
        </w:numPr>
      </w:pPr>
      <w:r>
        <w:t xml:space="preserve">Dans l’entrevue </w:t>
      </w:r>
      <w:r w:rsidR="00031ED6">
        <w:t xml:space="preserve">accordée </w:t>
      </w:r>
      <w:r>
        <w:t>à Julian Assange, Cor</w:t>
      </w:r>
      <w:r w:rsidR="007324DA">
        <w:t>rea reprend</w:t>
      </w:r>
      <w:r w:rsidR="00AE5B2A">
        <w:t xml:space="preserve"> une</w:t>
      </w:r>
      <w:r w:rsidR="007324DA">
        <w:t xml:space="preserve"> for</w:t>
      </w:r>
      <w:r>
        <w:t xml:space="preserve">mule colorée qu’il </w:t>
      </w:r>
      <w:r w:rsidR="007324DA">
        <w:t>affectionne</w:t>
      </w:r>
      <w:r>
        <w:t>: « Nous ne pouvons pas être des mendiants assis sur un sac d’or ». Puis</w:t>
      </w:r>
      <w:r w:rsidR="00AE5B2A">
        <w:t>,</w:t>
      </w:r>
      <w:r>
        <w:t xml:space="preserve"> il ajoute : « Il y a certains groupes […] qui […] viennent nous dire à nous : ‘N’exploitez pas, n’extrayez pas, ne produisez pas’. Et de q</w:t>
      </w:r>
      <w:r w:rsidR="00AE5B2A">
        <w:t>uoi allons-nous vivre alors?</w:t>
      </w:r>
      <w:r>
        <w:t xml:space="preserve">» (Correa, 2012). </w:t>
      </w:r>
      <w:r w:rsidR="007B2F47">
        <w:t>C’est un fait que l</w:t>
      </w:r>
      <w:r w:rsidR="00A85CC2">
        <w:t>’extraction des ressources naturelles finance les politiques de redistribution de Correa depuis 2007.</w:t>
      </w:r>
      <w:r w:rsidR="008C238E">
        <w:t xml:space="preserve"> </w:t>
      </w:r>
    </w:p>
    <w:p w14:paraId="41BF506F" w14:textId="77777777" w:rsidR="00BD13C7" w:rsidRDefault="00BD13C7" w:rsidP="00BD13C7"/>
    <w:p w14:paraId="637D86C4" w14:textId="77777777" w:rsidR="001D18E3" w:rsidRDefault="0031586C" w:rsidP="00BD13C7">
      <w:pPr>
        <w:pStyle w:val="Paragraphedeliste"/>
        <w:numPr>
          <w:ilvl w:val="0"/>
          <w:numId w:val="39"/>
        </w:numPr>
      </w:pPr>
      <w:r w:rsidRPr="0032341F">
        <w:t>Garcí</w:t>
      </w:r>
      <w:r w:rsidR="001D18E3" w:rsidRPr="0032341F">
        <w:t>a</w:t>
      </w:r>
      <w:r w:rsidR="001D18E3">
        <w:t xml:space="preserve"> Linera, intellectuel de gauche et Vice-président de la Bolivie, </w:t>
      </w:r>
      <w:r w:rsidR="005D753A">
        <w:t>s’exprime dans le même sens que Correa</w:t>
      </w:r>
      <w:r w:rsidR="00BD13C7">
        <w:t xml:space="preserve">. </w:t>
      </w:r>
      <w:r w:rsidR="001D18E3">
        <w:t>Pour répondre aux écologistes radicaux pour qui les gouvernements de l’Équateur et de la Bolivie sont « néo-extractivistes », Garcia Linera (2013) argumente qu’il est en faveur de</w:t>
      </w:r>
      <w:r w:rsidR="00201FB0">
        <w:t xml:space="preserve"> l’écologie responsable et se démarque</w:t>
      </w:r>
      <w:r w:rsidR="001D18E3">
        <w:t xml:space="preserve"> du non-extractivisme radical. </w:t>
      </w:r>
      <w:r w:rsidR="00201FB0">
        <w:t>Au moment</w:t>
      </w:r>
      <w:r w:rsidR="001D18E3">
        <w:t xml:space="preserve"> d’un passage en Équateur en novembre 2013, il manifeste sa solidari</w:t>
      </w:r>
      <w:r w:rsidR="00201FB0">
        <w:t xml:space="preserve">té avec le gouvernement Correa et se démarque </w:t>
      </w:r>
      <w:r w:rsidR="00C833B5">
        <w:t>de ce qu’il appelle le</w:t>
      </w:r>
      <w:r w:rsidR="001D18E3">
        <w:t xml:space="preserve"> « faux débat qui se dévelo</w:t>
      </w:r>
      <w:r w:rsidR="00201FB0">
        <w:t>ppe sur l’extractivisme ». Dans ce contexte, il préconise</w:t>
      </w:r>
      <w:r w:rsidR="001D18E3">
        <w:t xml:space="preserve"> l’idée de « politiques extractivistes positives pour la société », soit des politi</w:t>
      </w:r>
      <w:r w:rsidR="00283655">
        <w:t>ques qui favorisent la canalisation</w:t>
      </w:r>
      <w:r w:rsidR="001D18E3">
        <w:t xml:space="preserve"> des ressources naturelles en faveur des citoyens » (El Comercio.com, 23 novembre 2013</w:t>
      </w:r>
      <w:r w:rsidR="00BD13C7">
        <w:t>; Natanson,</w:t>
      </w:r>
      <w:r w:rsidR="00201FB0">
        <w:t xml:space="preserve"> 2007</w:t>
      </w:r>
      <w:r w:rsidR="001D18E3">
        <w:t xml:space="preserve">). </w:t>
      </w:r>
    </w:p>
    <w:p w14:paraId="61A8023D" w14:textId="77777777" w:rsidR="00926A1A" w:rsidRDefault="00926A1A" w:rsidP="0019560F"/>
    <w:p w14:paraId="056AD3BA" w14:textId="77777777" w:rsidR="002D57F9" w:rsidRDefault="00201FB0" w:rsidP="0019560F">
      <w:r>
        <w:t xml:space="preserve">Terminons cette sous-section, </w:t>
      </w:r>
      <w:r w:rsidR="0097657E">
        <w:t xml:space="preserve">en </w:t>
      </w:r>
      <w:r>
        <w:t>repr</w:t>
      </w:r>
      <w:r w:rsidR="0097657E">
        <w:t>enant</w:t>
      </w:r>
      <w:r>
        <w:t xml:space="preserve"> à notre compte u</w:t>
      </w:r>
      <w:r w:rsidR="00926A1A">
        <w:t>n</w:t>
      </w:r>
      <w:r w:rsidR="00041AF8">
        <w:t xml:space="preserve"> précieux filon de réflexion</w:t>
      </w:r>
      <w:r w:rsidR="00926A1A">
        <w:t xml:space="preserve"> </w:t>
      </w:r>
      <w:r w:rsidR="002128BC">
        <w:t>formulé</w:t>
      </w:r>
      <w:r w:rsidR="0097657E">
        <w:t xml:space="preserve"> à quelques reprises</w:t>
      </w:r>
      <w:r>
        <w:t xml:space="preserve"> par le sociologue </w:t>
      </w:r>
      <w:r w:rsidR="0031586C">
        <w:t xml:space="preserve">Jorge </w:t>
      </w:r>
      <w:r w:rsidR="0031586C" w:rsidRPr="0032341F">
        <w:t>Leó</w:t>
      </w:r>
      <w:r w:rsidR="00926A1A" w:rsidRPr="0032341F">
        <w:t>n</w:t>
      </w:r>
      <w:r w:rsidR="00926A1A">
        <w:t xml:space="preserve"> (</w:t>
      </w:r>
      <w:r w:rsidR="00B16C24">
        <w:t>2013</w:t>
      </w:r>
      <w:r w:rsidR="00926A1A">
        <w:t>)</w:t>
      </w:r>
      <w:r w:rsidR="00683B0F">
        <w:t>. En réfléchissant à l’héritage politique de</w:t>
      </w:r>
      <w:r w:rsidR="00926A1A">
        <w:t xml:space="preserve"> Mandela</w:t>
      </w:r>
      <w:r w:rsidR="00683B0F">
        <w:t xml:space="preserve"> </w:t>
      </w:r>
      <w:r w:rsidR="00AD6F31">
        <w:t xml:space="preserve">et </w:t>
      </w:r>
      <w:r w:rsidR="00683B0F">
        <w:t>en pensant sans doute aux défis politiques qui tenaillent les gouvernements de gauche dans la région andine comme ceux de Morales et de Correa</w:t>
      </w:r>
      <w:r w:rsidR="0031586C">
        <w:t xml:space="preserve">, </w:t>
      </w:r>
      <w:r w:rsidR="0031586C" w:rsidRPr="0032341F">
        <w:t>Leó</w:t>
      </w:r>
      <w:r w:rsidR="002128BC" w:rsidRPr="0032341F">
        <w:t>n</w:t>
      </w:r>
      <w:r w:rsidR="002128BC">
        <w:t xml:space="preserve"> </w:t>
      </w:r>
      <w:r w:rsidR="0097657E">
        <w:t>formule</w:t>
      </w:r>
      <w:r w:rsidR="002128BC">
        <w:t xml:space="preserve"> l’interrogation suivante</w:t>
      </w:r>
      <w:r w:rsidR="00926A1A">
        <w:t xml:space="preserve"> : quand </w:t>
      </w:r>
      <w:r w:rsidR="0097657E">
        <w:t>une personne mène</w:t>
      </w:r>
      <w:r w:rsidR="00AD6F31">
        <w:t xml:space="preserve"> </w:t>
      </w:r>
      <w:r w:rsidR="0097657E">
        <w:t>et gagne</w:t>
      </w:r>
      <w:r w:rsidR="002128BC">
        <w:t xml:space="preserve"> </w:t>
      </w:r>
      <w:r w:rsidR="00926A1A">
        <w:t xml:space="preserve">une bataille politique, </w:t>
      </w:r>
      <w:r w:rsidR="002128BC">
        <w:t>dans l’opposition comme</w:t>
      </w:r>
      <w:r w:rsidR="00C35465">
        <w:t xml:space="preserve"> au pouvoir, </w:t>
      </w:r>
      <w:r w:rsidR="0097657E">
        <w:t>ne devrait-elle pas</w:t>
      </w:r>
      <w:r w:rsidR="00C35465">
        <w:t xml:space="preserve">, à l’encontre de ce que l’on a souvent pensé et </w:t>
      </w:r>
      <w:r w:rsidR="002128BC">
        <w:t>mis en application</w:t>
      </w:r>
      <w:r w:rsidR="00C35465">
        <w:t xml:space="preserve"> dans </w:t>
      </w:r>
      <w:r w:rsidR="0097657E">
        <w:t xml:space="preserve">certains courants </w:t>
      </w:r>
      <w:r w:rsidR="00C35465">
        <w:t xml:space="preserve">de gauche, </w:t>
      </w:r>
      <w:r w:rsidR="0097657E">
        <w:t xml:space="preserve">tenter </w:t>
      </w:r>
      <w:r w:rsidR="00C35465">
        <w:t>de composer avec l’autre (ou l’adversaire) et ses idées, au lieu de</w:t>
      </w:r>
      <w:r w:rsidR="002128BC">
        <w:t xml:space="preserve"> s’employer à</w:t>
      </w:r>
      <w:r w:rsidR="00C35465">
        <w:t xml:space="preserve"> les éliminer</w:t>
      </w:r>
      <w:r w:rsidR="0097657E">
        <w:t xml:space="preserve"> ou à ne pas en tenir compte</w:t>
      </w:r>
      <w:r w:rsidR="00C35465">
        <w:t>? Cela ne veut pas dire que</w:t>
      </w:r>
      <w:r w:rsidR="002128BC">
        <w:t>,</w:t>
      </w:r>
      <w:r w:rsidR="00C35465">
        <w:t xml:space="preserve"> dans les délibérations démocratiques impliquant la </w:t>
      </w:r>
      <w:r w:rsidR="00C35465" w:rsidRPr="00620D65">
        <w:t>participation d’une diversité d’acteurs sociaux et politiques</w:t>
      </w:r>
      <w:r w:rsidR="002128BC" w:rsidRPr="00620D65">
        <w:t xml:space="preserve">, il ne </w:t>
      </w:r>
      <w:r w:rsidR="0097657E" w:rsidRPr="00620D65">
        <w:t>soit pas nécessaire, souvent, de</w:t>
      </w:r>
      <w:r w:rsidR="002128BC" w:rsidRPr="00620D65">
        <w:t xml:space="preserve"> faire face à des tensions et à des conflits</w:t>
      </w:r>
      <w:r w:rsidR="00926A1A" w:rsidRPr="00620D65">
        <w:t xml:space="preserve">. </w:t>
      </w:r>
      <w:r w:rsidR="002128BC" w:rsidRPr="00620D65">
        <w:t xml:space="preserve">Mais cela signifie </w:t>
      </w:r>
      <w:r w:rsidR="00F04875" w:rsidRPr="00620D65">
        <w:t>qu’en tirant des enseignements de la trajectoire</w:t>
      </w:r>
      <w:r w:rsidR="002128BC" w:rsidRPr="00620D65">
        <w:t xml:space="preserve"> de Mand</w:t>
      </w:r>
      <w:r w:rsidR="0097657E" w:rsidRPr="00620D65">
        <w:t xml:space="preserve">ela, la sagesse politique, </w:t>
      </w:r>
      <w:r w:rsidR="002128BC" w:rsidRPr="00620D65">
        <w:t xml:space="preserve">à gauche, invite à se </w:t>
      </w:r>
      <w:r w:rsidR="0097657E" w:rsidRPr="00620D65">
        <w:t>départ</w:t>
      </w:r>
      <w:r w:rsidR="002128BC" w:rsidRPr="00620D65">
        <w:t>ir d’une certaine conception du «</w:t>
      </w:r>
      <w:r w:rsidR="002128BC">
        <w:t> droit du gagnant »</w:t>
      </w:r>
      <w:r w:rsidR="00F5285B">
        <w:rPr>
          <w:rStyle w:val="Marquenotebasdepage"/>
        </w:rPr>
        <w:footnoteReference w:id="43"/>
      </w:r>
      <w:r w:rsidR="002128BC">
        <w:t xml:space="preserve">. </w:t>
      </w:r>
    </w:p>
    <w:p w14:paraId="6E4939D2" w14:textId="77777777" w:rsidR="002D57F9" w:rsidRPr="00620D65" w:rsidRDefault="00620D65" w:rsidP="00620D65">
      <w:pPr>
        <w:pStyle w:val="Titre3"/>
        <w:spacing w:before="240"/>
        <w:rPr>
          <w:color w:val="auto"/>
          <w:sz w:val="28"/>
          <w:szCs w:val="28"/>
          <w:u w:val="single"/>
        </w:rPr>
      </w:pPr>
      <w:bookmarkStart w:id="19" w:name="_Toc405129035"/>
      <w:r w:rsidRPr="00620D65">
        <w:rPr>
          <w:color w:val="auto"/>
          <w:sz w:val="28"/>
          <w:szCs w:val="28"/>
        </w:rPr>
        <w:lastRenderedPageBreak/>
        <w:t>4.3.4</w:t>
      </w:r>
      <w:r w:rsidR="00646B8A" w:rsidRPr="00620D65">
        <w:rPr>
          <w:color w:val="auto"/>
          <w:sz w:val="28"/>
          <w:szCs w:val="28"/>
        </w:rPr>
        <w:t xml:space="preserve"> </w:t>
      </w:r>
      <w:r w:rsidRPr="00620D65">
        <w:rPr>
          <w:color w:val="auto"/>
          <w:sz w:val="28"/>
          <w:szCs w:val="28"/>
        </w:rPr>
        <w:t>La gauche anarchiste s</w:t>
      </w:r>
      <w:r>
        <w:rPr>
          <w:color w:val="auto"/>
          <w:sz w:val="28"/>
          <w:szCs w:val="28"/>
        </w:rPr>
        <w:t>’</w:t>
      </w:r>
      <w:r w:rsidRPr="00620D65">
        <w:rPr>
          <w:color w:val="auto"/>
          <w:sz w:val="28"/>
          <w:szCs w:val="28"/>
        </w:rPr>
        <w:t>intéresse peu à la co-construction</w:t>
      </w:r>
      <w:bookmarkEnd w:id="19"/>
    </w:p>
    <w:p w14:paraId="0A3C106C" w14:textId="77777777" w:rsidR="003C5C83" w:rsidRDefault="00425846" w:rsidP="0019560F">
      <w:r>
        <w:t xml:space="preserve">Nous prenons distance ici </w:t>
      </w:r>
      <w:r w:rsidR="004107EC">
        <w:t>avec le</w:t>
      </w:r>
      <w:r>
        <w:t xml:space="preserve"> point de vue d’une certa</w:t>
      </w:r>
      <w:r w:rsidR="00D90111">
        <w:t>ine gauche de tendance anarchist</w:t>
      </w:r>
      <w:r>
        <w:t xml:space="preserve">e qui met sa confiance uniquement dans la démocratie participative et n’attend rien de la démocratie représentative. Ce point de vue est bien ramassé dans </w:t>
      </w:r>
      <w:r w:rsidRPr="001A1F59">
        <w:t>le slogan « Qu’ils s’en aillent tous</w:t>
      </w:r>
      <w:r w:rsidR="00E8416D">
        <w:t>!</w:t>
      </w:r>
      <w:r w:rsidRPr="001A1F59">
        <w:t>»</w:t>
      </w:r>
      <w:r>
        <w:t xml:space="preserve"> (</w:t>
      </w:r>
      <w:r>
        <w:rPr>
          <w:i/>
        </w:rPr>
        <w:t>Que se vallan todos!</w:t>
      </w:r>
      <w:r>
        <w:t>)</w:t>
      </w:r>
      <w:r w:rsidR="004C6347">
        <w:t>, rendu populaire lors de la crise argentine de décembre 2001</w:t>
      </w:r>
      <w:r w:rsidRPr="00D272C0">
        <w:rPr>
          <w:i/>
        </w:rPr>
        <w:t>.</w:t>
      </w:r>
      <w:r>
        <w:t xml:space="preserve">  </w:t>
      </w:r>
      <w:r w:rsidRPr="003D1A12">
        <w:t>À parti</w:t>
      </w:r>
      <w:r w:rsidR="00D54842" w:rsidRPr="003D1A12">
        <w:t>r</w:t>
      </w:r>
      <w:r w:rsidRPr="003D1A12">
        <w:t xml:space="preserve"> d’une telle position</w:t>
      </w:r>
      <w:r>
        <w:t xml:space="preserve">, on le devine, la co-construction démocratique devient ni souhaitable ni possible. La transformation </w:t>
      </w:r>
      <w:r w:rsidR="004C6347">
        <w:t>profonde de la société</w:t>
      </w:r>
      <w:r>
        <w:t xml:space="preserve"> ne peut venir que de la société civile</w:t>
      </w:r>
      <w:r w:rsidR="004C6347">
        <w:t xml:space="preserve"> et de la démocratie directe. </w:t>
      </w:r>
      <w:r>
        <w:t xml:space="preserve"> </w:t>
      </w:r>
      <w:r w:rsidR="004C6347">
        <w:t xml:space="preserve">Une telle position </w:t>
      </w:r>
      <w:r>
        <w:t>est incompatible</w:t>
      </w:r>
      <w:r w:rsidR="00A814A3">
        <w:t xml:space="preserve"> avec</w:t>
      </w:r>
      <w:r>
        <w:t xml:space="preserve"> </w:t>
      </w:r>
      <w:r w:rsidR="004C6347">
        <w:t>l’option en faveur de la</w:t>
      </w:r>
      <w:r>
        <w:t xml:space="preserve"> co-construction</w:t>
      </w:r>
      <w:r w:rsidR="004C6347">
        <w:t xml:space="preserve"> démocratique</w:t>
      </w:r>
      <w:r>
        <w:t xml:space="preserve"> qui présuppose un apport de la démocratie représentative</w:t>
      </w:r>
      <w:r w:rsidR="00E8416D">
        <w:t xml:space="preserve"> et une coopération entre les acteurs des deux démocraties</w:t>
      </w:r>
      <w:r>
        <w:t xml:space="preserve">. </w:t>
      </w:r>
      <w:r w:rsidR="004C6347">
        <w:t>La</w:t>
      </w:r>
      <w:r>
        <w:t xml:space="preserve"> </w:t>
      </w:r>
      <w:r w:rsidR="00D90111">
        <w:t>posture de la gauche anarchist</w:t>
      </w:r>
      <w:r w:rsidR="004C6347">
        <w:t>e exerce présentement un attrait</w:t>
      </w:r>
      <w:r>
        <w:t xml:space="preserve"> dans les pays du Sud comme du Nord. </w:t>
      </w:r>
      <w:r w:rsidR="00A814A3">
        <w:t>Elle est particulièrement attractive dans des pays</w:t>
      </w:r>
      <w:r w:rsidR="008E70A7">
        <w:t xml:space="preserve"> comme le Mexique</w:t>
      </w:r>
      <w:r w:rsidR="008E70A7">
        <w:rPr>
          <w:rStyle w:val="Marquenotebasdepage"/>
        </w:rPr>
        <w:footnoteReference w:id="44"/>
      </w:r>
      <w:r w:rsidR="00A814A3">
        <w:t xml:space="preserve"> où la politique représentative s’est considérablement discrétisée elle-même en pactisant avec le mépris des droits de la personne, l’abandon de l’État de droit, l’usage de la répression,  le soutien au </w:t>
      </w:r>
      <w:r w:rsidR="00D54842">
        <w:t>narcotrafic</w:t>
      </w:r>
      <w:r w:rsidR="00A814A3">
        <w:t xml:space="preserve">, etc. </w:t>
      </w:r>
      <w:r>
        <w:t>Elle est véhiculée</w:t>
      </w:r>
      <w:r w:rsidR="004C6347">
        <w:t xml:space="preserve"> présentement en ALC</w:t>
      </w:r>
      <w:r>
        <w:t xml:space="preserve"> par </w:t>
      </w:r>
      <w:r w:rsidR="004C6347">
        <w:t>certains</w:t>
      </w:r>
      <w:r>
        <w:t xml:space="preserve"> intellectuels et militants de gauche, dont Raul Zibechi</w:t>
      </w:r>
      <w:r w:rsidR="004C6347">
        <w:t>,</w:t>
      </w:r>
      <w:r>
        <w:t xml:space="preserve"> qui s’est démarqué du gouvernement Morales dès le début de son premier mandat (Zibechi, 2006). Ce journaliste uruguayen</w:t>
      </w:r>
      <w:r w:rsidR="00F71950">
        <w:t xml:space="preserve"> qui écrit régulièrement dans </w:t>
      </w:r>
      <w:r w:rsidR="00F71950">
        <w:rPr>
          <w:i/>
        </w:rPr>
        <w:t>La Jornada</w:t>
      </w:r>
      <w:r>
        <w:t xml:space="preserve"> valorise tellement la participation des acteurs de la société civile dans diverses formes de résistance, qu’il finit</w:t>
      </w:r>
      <w:r w:rsidR="004C6347">
        <w:t xml:space="preserve"> même</w:t>
      </w:r>
      <w:r>
        <w:t xml:space="preserve"> par afficher </w:t>
      </w:r>
      <w:r w:rsidR="00F71950">
        <w:t>un doute méthodique</w:t>
      </w:r>
      <w:r>
        <w:t xml:space="preserve"> vis-à-vis la possible contribution des élus de la société politique </w:t>
      </w:r>
      <w:r w:rsidR="00F71950">
        <w:t>à l’impulsion d’</w:t>
      </w:r>
      <w:r>
        <w:t xml:space="preserve">un processus de transformation révolutionnaire de la société. À partir d’une telle vision, Zibechi critique ce qu’il appelle le « pli de la gauche traditionnelle » pour « le socialisme étatique ». Pour contrer ce pli, il adopte une position </w:t>
      </w:r>
      <w:r w:rsidR="00F71950">
        <w:t>proche de</w:t>
      </w:r>
      <w:r>
        <w:t xml:space="preserve"> celle des zapatistes mexicains qui investissent dans les luttes de résistance dans la société civile et préconisent l’abstention vis-à-vis l’action politique électorale (Zibechi, 2014b)</w:t>
      </w:r>
      <w:r>
        <w:rPr>
          <w:rStyle w:val="Marquenotebasdepage"/>
        </w:rPr>
        <w:footnoteReference w:id="45"/>
      </w:r>
      <w:r>
        <w:t>. En critiquant « l’estado-centrismo », Zibechi fait l’apologie des «  nouveaux nouveaux</w:t>
      </w:r>
      <w:r w:rsidR="00355CBF">
        <w:t xml:space="preserve"> (sic)</w:t>
      </w:r>
      <w:r>
        <w:t xml:space="preserve"> mouvements sociaux », distincts des « anciens mouvements sociaux ». Les mouvements sociaux « nouveaux nouveaux », pour lui, « ne se réfèrent pas à l’État </w:t>
      </w:r>
      <w:r w:rsidR="00F71950">
        <w:t>en cherchant à établir avec lui</w:t>
      </w:r>
      <w:r>
        <w:t xml:space="preserve"> des dialogues et des négociations » (Zibechi, 2014a et 2013). Enfin, Zibechi </w:t>
      </w:r>
      <w:r w:rsidR="00B77B15">
        <w:t>reproche</w:t>
      </w:r>
      <w:r>
        <w:t xml:space="preserve"> aux gouvernements « dits progressistes » comme ceux de l’Équateur, de la Bolivie et du Brésil de ne pas faire de réformes structurelles, voire de ne pas s’inspirer des « vraies révolutions » (Zibechi, 2010 et 2011a). </w:t>
      </w:r>
    </w:p>
    <w:p w14:paraId="3D4EBEB3" w14:textId="77777777" w:rsidR="003C5C83" w:rsidRDefault="003C5C83" w:rsidP="0019560F"/>
    <w:p w14:paraId="10F6AD1A" w14:textId="77777777" w:rsidR="00691266" w:rsidRDefault="00425846" w:rsidP="00691266">
      <w:r>
        <w:lastRenderedPageBreak/>
        <w:t xml:space="preserve">Un point de vue </w:t>
      </w:r>
      <w:r w:rsidR="00355CBF">
        <w:t>proche de</w:t>
      </w:r>
      <w:r>
        <w:t xml:space="preserve"> celui de Zibechi est présent dans plusieurs articles (dont ceux de Frank Gaudichaud</w:t>
      </w:r>
      <w:r>
        <w:rPr>
          <w:rStyle w:val="Marquenotebasdepage"/>
        </w:rPr>
        <w:footnoteReference w:id="46"/>
      </w:r>
      <w:r>
        <w:t xml:space="preserve"> et Ricardo Penafiel)  d’un dossier consacré à l’Amérique latine dans la revue</w:t>
      </w:r>
      <w:r w:rsidR="00E8416D">
        <w:t xml:space="preserve"> québécoise</w:t>
      </w:r>
      <w:r>
        <w:t xml:space="preserve"> </w:t>
      </w:r>
      <w:r w:rsidRPr="00D224FB">
        <w:rPr>
          <w:i/>
        </w:rPr>
        <w:t>Relations</w:t>
      </w:r>
      <w:r>
        <w:t xml:space="preserve"> (2012).  Il est partagé aussi par Boris Marañón qui </w:t>
      </w:r>
      <w:r w:rsidR="00E8416D">
        <w:t>plaide</w:t>
      </w:r>
      <w:r>
        <w:t xml:space="preserve"> souvent en faveur de la démocratie directe et contre la démocratie représentative dans le réseau RIPESS L</w:t>
      </w:r>
      <w:r w:rsidR="001F731D">
        <w:t xml:space="preserve">AC (Marañón, 2013; Marañón et </w:t>
      </w:r>
      <w:r w:rsidR="001F731D" w:rsidRPr="0032341F">
        <w:t>Ló</w:t>
      </w:r>
      <w:r w:rsidRPr="0032341F">
        <w:t>pez,</w:t>
      </w:r>
      <w:r>
        <w:t xml:space="preserve"> 2010). Il est partagé aussi par plusieurs </w:t>
      </w:r>
      <w:r w:rsidR="00E8416D">
        <w:t>intellectuels</w:t>
      </w:r>
      <w:r w:rsidR="00B77B15">
        <w:t xml:space="preserve"> et militants</w:t>
      </w:r>
      <w:r>
        <w:t xml:space="preserve"> de gauche de l’ALC qui s’intéressent à l’écologie et aux courants de pensée indigénistes. Ces auteurs, dans le domaine des politiques de développement des ressources naturelles (hydrocarbures et mines), adoptent des positions politiques radicalement non-extractivistes</w:t>
      </w:r>
      <w:r w:rsidR="00DB0914">
        <w:t>,</w:t>
      </w:r>
      <w:r>
        <w:t xml:space="preserve"> que </w:t>
      </w:r>
      <w:r w:rsidR="00DB0914">
        <w:t>nous pouvons</w:t>
      </w:r>
      <w:r>
        <w:t xml:space="preserve"> qualifier de </w:t>
      </w:r>
      <w:r w:rsidRPr="00B77B15">
        <w:t>maximalistes</w:t>
      </w:r>
      <w:r w:rsidR="00B77B15">
        <w:t xml:space="preserve"> et de fondamentalistes</w:t>
      </w:r>
      <w:r>
        <w:t>. Ces positions amènent leur</w:t>
      </w:r>
      <w:r w:rsidR="00E8416D">
        <w:t>s</w:t>
      </w:r>
      <w:r w:rsidR="00E5784A">
        <w:t xml:space="preserve"> porte-</w:t>
      </w:r>
      <w:r>
        <w:t>parole</w:t>
      </w:r>
      <w:r w:rsidR="00E5784A">
        <w:t>s</w:t>
      </w:r>
      <w:r>
        <w:t xml:space="preserve"> à reprocher notamment aux gouvernements de Morales et de Correa de ne pas adopter dès maintenant une politique totalement non</w:t>
      </w:r>
      <w:r w:rsidR="000A3F52">
        <w:t>-</w:t>
      </w:r>
      <w:r>
        <w:t>extractiviste. En plus de Gudynas (2011, 2013a, 2013b et 2013c), on retrouve dans ce courant Miriam Lang de la Fondation Rosa-Luxembourg dans la région an</w:t>
      </w:r>
      <w:r w:rsidR="00E5784A">
        <w:t xml:space="preserve">dine (Lang et Modrani, 2011), </w:t>
      </w:r>
      <w:r>
        <w:t>Arturo Escobar (2012)</w:t>
      </w:r>
      <w:r w:rsidR="00B77B15">
        <w:t xml:space="preserve">, Oscar Olivera (2012) et plusieurs </w:t>
      </w:r>
      <w:r w:rsidR="007041A5">
        <w:t>autres</w:t>
      </w:r>
      <w:r>
        <w:t xml:space="preserve">.  Il nous </w:t>
      </w:r>
      <w:r w:rsidR="00BE232A">
        <w:t>semble</w:t>
      </w:r>
      <w:r>
        <w:t xml:space="preserve"> qu’Alberto Acosta (2012), à partir de 2011, s’est identifié de plus en plus </w:t>
      </w:r>
      <w:r w:rsidR="00B77B15">
        <w:t>à</w:t>
      </w:r>
      <w:r>
        <w:t xml:space="preserve"> cette </w:t>
      </w:r>
      <w:r w:rsidR="00B77B15">
        <w:t>mouvance</w:t>
      </w:r>
      <w:r>
        <w:t>, ce qui est apparu clair dans le discours public qu’il a tenu au cours de la campagne présidentie</w:t>
      </w:r>
      <w:r w:rsidR="007A157C">
        <w:t>lle liée aux</w:t>
      </w:r>
      <w:r>
        <w:t xml:space="preserve"> élections de février 2013</w:t>
      </w:r>
      <w:r>
        <w:rPr>
          <w:rStyle w:val="Marquenotebasdepage"/>
        </w:rPr>
        <w:footnoteReference w:id="47"/>
      </w:r>
      <w:r>
        <w:t xml:space="preserve"> (Acosta, 2013; Acosta et Machado, 2012; Acosta </w:t>
      </w:r>
      <w:r w:rsidRPr="004B300D">
        <w:rPr>
          <w:i/>
        </w:rPr>
        <w:t>et al</w:t>
      </w:r>
      <w:r>
        <w:t>, 2013).</w:t>
      </w:r>
    </w:p>
    <w:p w14:paraId="625B6A47" w14:textId="77777777" w:rsidR="00691266" w:rsidRPr="00041832" w:rsidRDefault="00D80981" w:rsidP="00041832">
      <w:pPr>
        <w:pStyle w:val="Titre2"/>
        <w:spacing w:before="360"/>
        <w:rPr>
          <w:color w:val="auto"/>
          <w:sz w:val="28"/>
          <w:szCs w:val="28"/>
        </w:rPr>
      </w:pPr>
      <w:bookmarkStart w:id="20" w:name="_Toc405129036"/>
      <w:r w:rsidRPr="00041832">
        <w:rPr>
          <w:color w:val="auto"/>
          <w:sz w:val="28"/>
          <w:szCs w:val="28"/>
        </w:rPr>
        <w:t>4.</w:t>
      </w:r>
      <w:r w:rsidR="00041832" w:rsidRPr="00041832">
        <w:rPr>
          <w:color w:val="auto"/>
          <w:sz w:val="28"/>
          <w:szCs w:val="28"/>
        </w:rPr>
        <w:t>4</w:t>
      </w:r>
      <w:r w:rsidRPr="00041832">
        <w:rPr>
          <w:color w:val="auto"/>
          <w:sz w:val="28"/>
          <w:szCs w:val="28"/>
        </w:rPr>
        <w:t xml:space="preserve"> </w:t>
      </w:r>
      <w:r w:rsidR="00167FC3" w:rsidRPr="00041832">
        <w:rPr>
          <w:color w:val="auto"/>
          <w:sz w:val="28"/>
          <w:szCs w:val="28"/>
        </w:rPr>
        <w:t>U</w:t>
      </w:r>
      <w:r w:rsidR="000B332D" w:rsidRPr="00041832">
        <w:rPr>
          <w:color w:val="auto"/>
          <w:sz w:val="28"/>
          <w:szCs w:val="28"/>
        </w:rPr>
        <w:t xml:space="preserve">ne </w:t>
      </w:r>
      <w:r w:rsidR="0071197F" w:rsidRPr="00041832">
        <w:rPr>
          <w:color w:val="auto"/>
          <w:sz w:val="28"/>
          <w:szCs w:val="28"/>
        </w:rPr>
        <w:t xml:space="preserve">fenêtre </w:t>
      </w:r>
      <w:r w:rsidR="000B332D" w:rsidRPr="00041832">
        <w:rPr>
          <w:color w:val="auto"/>
          <w:sz w:val="28"/>
          <w:szCs w:val="28"/>
        </w:rPr>
        <w:t>d’opportunité</w:t>
      </w:r>
      <w:r w:rsidR="0071197F" w:rsidRPr="00041832">
        <w:rPr>
          <w:color w:val="auto"/>
          <w:sz w:val="28"/>
          <w:szCs w:val="28"/>
        </w:rPr>
        <w:t xml:space="preserve"> </w:t>
      </w:r>
      <w:r w:rsidR="00932321" w:rsidRPr="00041832">
        <w:rPr>
          <w:color w:val="auto"/>
          <w:sz w:val="28"/>
          <w:szCs w:val="28"/>
        </w:rPr>
        <w:t xml:space="preserve">s’ouvre </w:t>
      </w:r>
      <w:r w:rsidR="0071197F" w:rsidRPr="00041832">
        <w:rPr>
          <w:color w:val="auto"/>
          <w:sz w:val="28"/>
          <w:szCs w:val="28"/>
        </w:rPr>
        <w:t>au</w:t>
      </w:r>
      <w:r w:rsidRPr="00041832">
        <w:rPr>
          <w:color w:val="auto"/>
          <w:sz w:val="28"/>
          <w:szCs w:val="28"/>
        </w:rPr>
        <w:t xml:space="preserve"> Chili</w:t>
      </w:r>
      <w:r w:rsidR="00167FC3" w:rsidRPr="00041832">
        <w:rPr>
          <w:color w:val="auto"/>
          <w:sz w:val="28"/>
          <w:szCs w:val="28"/>
        </w:rPr>
        <w:t> : le débat sur l’Assemblée constituante</w:t>
      </w:r>
      <w:bookmarkEnd w:id="20"/>
      <w:r w:rsidR="009F0B7E" w:rsidRPr="00041832">
        <w:rPr>
          <w:color w:val="auto"/>
          <w:sz w:val="28"/>
          <w:szCs w:val="28"/>
        </w:rPr>
        <w:t xml:space="preserve"> </w:t>
      </w:r>
    </w:p>
    <w:p w14:paraId="68090998" w14:textId="77777777" w:rsidR="00812D2C" w:rsidRDefault="00D54842" w:rsidP="00FE675F">
      <w:r w:rsidRPr="00422D8F">
        <w:t>Présentement, d</w:t>
      </w:r>
      <w:r w:rsidR="00FE675F" w:rsidRPr="00422D8F">
        <w:t>ans plusieurs pays d’Améri</w:t>
      </w:r>
      <w:r w:rsidR="003F3F9C" w:rsidRPr="00422D8F">
        <w:t>que latine,</w:t>
      </w:r>
      <w:r w:rsidR="003F3F9C">
        <w:t xml:space="preserve"> </w:t>
      </w:r>
      <w:r w:rsidR="00FE675F">
        <w:t xml:space="preserve">des </w:t>
      </w:r>
      <w:r w:rsidR="00FE675F" w:rsidRPr="00422D8F">
        <w:t>débats</w:t>
      </w:r>
      <w:r w:rsidR="003F3F9C" w:rsidRPr="00422D8F">
        <w:t xml:space="preserve"> sont</w:t>
      </w:r>
      <w:r w:rsidR="00FE675F" w:rsidRPr="00422D8F">
        <w:t xml:space="preserve"> en cours </w:t>
      </w:r>
      <w:r w:rsidRPr="00422D8F">
        <w:t>sur</w:t>
      </w:r>
      <w:r w:rsidR="00FE675F" w:rsidRPr="00422D8F">
        <w:t xml:space="preserve"> la</w:t>
      </w:r>
      <w:r w:rsidR="00FE675F">
        <w:t xml:space="preserve"> nécessité de mettre à l’ordre du jour de nouvelles réformes constitutionnelles et de trouver des manières de le faire de façon plus démocratique en incorporant dans </w:t>
      </w:r>
      <w:r w:rsidR="003F3F9C">
        <w:t>les</w:t>
      </w:r>
      <w:r w:rsidR="00FE675F">
        <w:t xml:space="preserve"> réforme</w:t>
      </w:r>
      <w:r w:rsidR="003F3F9C">
        <w:t>s</w:t>
      </w:r>
      <w:r w:rsidR="00FE675F">
        <w:t xml:space="preserve"> une</w:t>
      </w:r>
      <w:r w:rsidR="003F3F9C">
        <w:t xml:space="preserve"> plus grande</w:t>
      </w:r>
      <w:r w:rsidR="00FE675F">
        <w:t xml:space="preserve"> diversité d’acteurs provenant </w:t>
      </w:r>
      <w:r w:rsidR="003F3F9C">
        <w:t xml:space="preserve">à la fois </w:t>
      </w:r>
      <w:r w:rsidR="00FE675F">
        <w:t>de la société civile</w:t>
      </w:r>
      <w:r w:rsidR="00743482">
        <w:t xml:space="preserve"> </w:t>
      </w:r>
      <w:r w:rsidR="003F3F9C">
        <w:t>et</w:t>
      </w:r>
      <w:r w:rsidR="00743482">
        <w:t xml:space="preserve"> de la société politique</w:t>
      </w:r>
      <w:r w:rsidR="00FE675F">
        <w:t xml:space="preserve">. </w:t>
      </w:r>
      <w:r w:rsidR="00AD63D1">
        <w:t>Dans c</w:t>
      </w:r>
      <w:r w:rsidR="00185944">
        <w:t>es débats</w:t>
      </w:r>
      <w:r w:rsidR="000B332D">
        <w:t xml:space="preserve"> qui ont cours</w:t>
      </w:r>
      <w:r w:rsidR="00E465E2">
        <w:t xml:space="preserve"> présentement</w:t>
      </w:r>
      <w:r w:rsidR="000B332D">
        <w:t xml:space="preserve"> au Brésil</w:t>
      </w:r>
      <w:r w:rsidR="003B5FCE">
        <w:t>, en Colombie</w:t>
      </w:r>
      <w:r w:rsidR="000B332D">
        <w:t xml:space="preserve"> </w:t>
      </w:r>
      <w:r w:rsidR="00E465E2">
        <w:t xml:space="preserve">et </w:t>
      </w:r>
      <w:r w:rsidR="000B332D">
        <w:t>au Chili</w:t>
      </w:r>
      <w:r w:rsidR="00185944">
        <w:t xml:space="preserve">, les expériences d’assemblées constituantes </w:t>
      </w:r>
      <w:r w:rsidR="00184CAA">
        <w:t xml:space="preserve">vécues </w:t>
      </w:r>
      <w:r w:rsidR="00621794">
        <w:t>récemment</w:t>
      </w:r>
      <w:r w:rsidR="00184CAA">
        <w:t xml:space="preserve"> </w:t>
      </w:r>
      <w:r w:rsidR="003F3F9C">
        <w:t xml:space="preserve">au </w:t>
      </w:r>
      <w:r w:rsidR="00184CAA">
        <w:t>Venezuela</w:t>
      </w:r>
      <w:r w:rsidR="00206F25">
        <w:t xml:space="preserve"> (1999)</w:t>
      </w:r>
      <w:r w:rsidR="00184CAA">
        <w:t xml:space="preserve">, </w:t>
      </w:r>
      <w:r w:rsidR="003F3F9C">
        <w:t xml:space="preserve">en </w:t>
      </w:r>
      <w:r w:rsidR="00184CAA">
        <w:t>Bolivie</w:t>
      </w:r>
      <w:r w:rsidR="00206F25">
        <w:t xml:space="preserve"> (2006-2009)</w:t>
      </w:r>
      <w:r w:rsidR="00184CAA">
        <w:t xml:space="preserve"> et</w:t>
      </w:r>
      <w:r w:rsidR="003F3F9C">
        <w:t xml:space="preserve"> en Équateur</w:t>
      </w:r>
      <w:r w:rsidR="00206F25">
        <w:t xml:space="preserve"> (2007-2008)</w:t>
      </w:r>
      <w:r w:rsidR="000B332D">
        <w:t xml:space="preserve"> </w:t>
      </w:r>
      <w:r w:rsidR="000B332D">
        <w:rPr>
          <w:rFonts w:ascii="Cambria" w:hAnsi="Cambria"/>
        </w:rPr>
        <w:t>—</w:t>
      </w:r>
      <w:r w:rsidR="000B332D">
        <w:t xml:space="preserve">et dont il fut question </w:t>
      </w:r>
      <w:r w:rsidR="00621794">
        <w:t>plus haut</w:t>
      </w:r>
      <w:r w:rsidR="000B332D">
        <w:rPr>
          <w:rFonts w:ascii="Cambria" w:hAnsi="Cambria"/>
        </w:rPr>
        <w:t>—</w:t>
      </w:r>
      <w:r w:rsidR="00184CAA">
        <w:t xml:space="preserve"> deviennent </w:t>
      </w:r>
      <w:r w:rsidR="003B5FCE">
        <w:t>des sources d’inspiration</w:t>
      </w:r>
      <w:r w:rsidR="00206F25">
        <w:t>,</w:t>
      </w:r>
      <w:r w:rsidR="00621794">
        <w:t xml:space="preserve"> pour que ces</w:t>
      </w:r>
      <w:r w:rsidR="00035983">
        <w:t xml:space="preserve"> nouvelles constitutions ne soient pas construites par </w:t>
      </w:r>
      <w:r w:rsidR="00035983">
        <w:lastRenderedPageBreak/>
        <w:t xml:space="preserve">les acteurs politiques tout seuls, mais co-construites </w:t>
      </w:r>
      <w:r w:rsidR="00621794">
        <w:t>avec la participation d</w:t>
      </w:r>
      <w:r w:rsidR="00035983">
        <w:t xml:space="preserve">es acteurs </w:t>
      </w:r>
      <w:r w:rsidR="00621794">
        <w:t>de la société civile</w:t>
      </w:r>
      <w:r w:rsidR="00171314" w:rsidRPr="00106569">
        <w:rPr>
          <w:rStyle w:val="Marquenotebasdepage"/>
        </w:rPr>
        <w:footnoteReference w:id="48"/>
      </w:r>
      <w:r w:rsidR="0044395C" w:rsidRPr="00106569">
        <w:t>.</w:t>
      </w:r>
      <w:r w:rsidR="00D809CB" w:rsidRPr="00106569">
        <w:t xml:space="preserve"> </w:t>
      </w:r>
    </w:p>
    <w:p w14:paraId="3DC20A53" w14:textId="77777777" w:rsidR="00485BF6" w:rsidRDefault="00485BF6" w:rsidP="00FE675F"/>
    <w:p w14:paraId="5812E087" w14:textId="77777777" w:rsidR="00AB6014" w:rsidRDefault="00D54842" w:rsidP="00FE675F">
      <w:r w:rsidRPr="00422D8F">
        <w:t>Au Chili, à</w:t>
      </w:r>
      <w:r w:rsidR="00862171" w:rsidRPr="00422D8F">
        <w:t xml:space="preserve"> la différence de ce qui se passe au Brés</w:t>
      </w:r>
      <w:r w:rsidR="00E457B9" w:rsidRPr="00422D8F">
        <w:t xml:space="preserve">il et en Colombie, </w:t>
      </w:r>
      <w:r w:rsidR="00862171" w:rsidRPr="00422D8F">
        <w:t>l’Assemb</w:t>
      </w:r>
      <w:r w:rsidR="00862171">
        <w:t xml:space="preserve">lée constituante n’est pas seulement un </w:t>
      </w:r>
      <w:r w:rsidR="00E457B9">
        <w:t>thème de débat parmi d’autres. C</w:t>
      </w:r>
      <w:r w:rsidR="00862171">
        <w:t xml:space="preserve">’est </w:t>
      </w:r>
      <w:r w:rsidR="003276BC">
        <w:t>la priorité politique</w:t>
      </w:r>
      <w:r w:rsidR="00E457B9">
        <w:t xml:space="preserve"> de l’heure</w:t>
      </w:r>
      <w:r w:rsidR="003276BC">
        <w:t xml:space="preserve"> qui a émergé dans l’ensemble du pays</w:t>
      </w:r>
      <w:r w:rsidR="00080547">
        <w:t xml:space="preserve"> au c</w:t>
      </w:r>
      <w:r w:rsidR="00E457B9">
        <w:t xml:space="preserve">ours des trois dernières années. Elle </w:t>
      </w:r>
      <w:r w:rsidR="003276BC">
        <w:t xml:space="preserve">représente le principal défi auquel doit s’attaquer la </w:t>
      </w:r>
      <w:r w:rsidR="003872C7">
        <w:t xml:space="preserve">Présidente </w:t>
      </w:r>
      <w:r w:rsidR="00080547">
        <w:t xml:space="preserve">Michelle Bachelet </w:t>
      </w:r>
      <w:r w:rsidR="003872C7">
        <w:t xml:space="preserve">depuis son retour au pouvoir en </w:t>
      </w:r>
      <w:r w:rsidR="00487A7F">
        <w:t>mars</w:t>
      </w:r>
      <w:r w:rsidR="003872C7">
        <w:t xml:space="preserve"> 2014</w:t>
      </w:r>
      <w:r w:rsidR="003872C7">
        <w:rPr>
          <w:rStyle w:val="Marquenotebasdepage"/>
        </w:rPr>
        <w:footnoteReference w:id="49"/>
      </w:r>
      <w:r w:rsidR="00080547">
        <w:t xml:space="preserve">. </w:t>
      </w:r>
      <w:r w:rsidR="00AB6014">
        <w:t xml:space="preserve">Pour bien saisir l’enjeu </w:t>
      </w:r>
      <w:r w:rsidR="00E457B9">
        <w:t>de</w:t>
      </w:r>
      <w:r w:rsidR="00AB6014">
        <w:t xml:space="preserve"> l’Assemblée constituante</w:t>
      </w:r>
      <w:r w:rsidR="00EB5B96">
        <w:t xml:space="preserve"> </w:t>
      </w:r>
      <w:r w:rsidR="00E457B9">
        <w:t>pour le nouveau</w:t>
      </w:r>
      <w:r w:rsidR="00EB5B96">
        <w:t xml:space="preserve"> gouvernement de Michelle Bachelet, il faut revenir en arrière </w:t>
      </w:r>
      <w:r w:rsidR="00E457B9">
        <w:t>et cerner la signification de</w:t>
      </w:r>
      <w:r w:rsidR="00EB5B96">
        <w:t xml:space="preserve"> la Constitution de 1980</w:t>
      </w:r>
      <w:r w:rsidR="00E457B9">
        <w:t>,</w:t>
      </w:r>
      <w:r w:rsidR="00487A7F">
        <w:t xml:space="preserve"> en tant qu’héritage laissé</w:t>
      </w:r>
      <w:r w:rsidR="00EB5B96">
        <w:t xml:space="preserve"> par la dictature Pinochet, </w:t>
      </w:r>
      <w:r w:rsidR="00E457B9">
        <w:t>un héritage qui pèse</w:t>
      </w:r>
      <w:r w:rsidR="00516DFB">
        <w:t xml:space="preserve"> </w:t>
      </w:r>
      <w:r w:rsidR="00516DFB" w:rsidRPr="00AB6A1A">
        <w:t>encore</w:t>
      </w:r>
      <w:r w:rsidR="00E457B9" w:rsidRPr="00AB6A1A">
        <w:t xml:space="preserve"> lourd </w:t>
      </w:r>
      <w:r w:rsidRPr="00AB6A1A">
        <w:t xml:space="preserve">au sein de </w:t>
      </w:r>
      <w:r w:rsidR="00E457B9" w:rsidRPr="00AB6A1A">
        <w:t>la société chilienne</w:t>
      </w:r>
      <w:r w:rsidR="00E457B9">
        <w:t xml:space="preserve">, 25 ans après </w:t>
      </w:r>
      <w:r w:rsidR="00152EB2">
        <w:t>la fin de la présidence Pinochet</w:t>
      </w:r>
      <w:r w:rsidR="00487A7F">
        <w:t xml:space="preserve"> et l’amorce de la </w:t>
      </w:r>
      <w:r w:rsidR="00487A7F">
        <w:rPr>
          <w:i/>
        </w:rPr>
        <w:t>T</w:t>
      </w:r>
      <w:r w:rsidR="00487A7F" w:rsidRPr="00487A7F">
        <w:rPr>
          <w:i/>
        </w:rPr>
        <w:t>ransition</w:t>
      </w:r>
      <w:r w:rsidR="00487A7F">
        <w:t xml:space="preserve"> vers la démocratie</w:t>
      </w:r>
      <w:r w:rsidR="00EB5B96">
        <w:t xml:space="preserve"> en 1990. </w:t>
      </w:r>
    </w:p>
    <w:p w14:paraId="673C74BB" w14:textId="77777777" w:rsidR="006C3360" w:rsidRDefault="006C3360" w:rsidP="00FE675F"/>
    <w:p w14:paraId="15571409" w14:textId="77777777" w:rsidR="006C3360" w:rsidRPr="006C3360" w:rsidRDefault="006C3360" w:rsidP="00FE675F">
      <w:pPr>
        <w:rPr>
          <w:u w:val="single"/>
        </w:rPr>
      </w:pPr>
      <w:r w:rsidRPr="006C3360">
        <w:rPr>
          <w:u w:val="single"/>
        </w:rPr>
        <w:t>L’héritage de la dictature</w:t>
      </w:r>
      <w:r>
        <w:rPr>
          <w:u w:val="single"/>
        </w:rPr>
        <w:t> : la Constitution de 1980</w:t>
      </w:r>
    </w:p>
    <w:p w14:paraId="48A8588A" w14:textId="77777777" w:rsidR="00385010" w:rsidRDefault="00152EB2" w:rsidP="006218D4">
      <w:r>
        <w:t>Peu de temps après le coup d’État sanglant du 11 septembre 1973, la Junte militaire</w:t>
      </w:r>
      <w:r w:rsidR="00904B17">
        <w:t>,</w:t>
      </w:r>
      <w:r>
        <w:t xml:space="preserve"> présidée par le Général Augusto Pinochet</w:t>
      </w:r>
      <w:r w:rsidR="00904B17">
        <w:t>,</w:t>
      </w:r>
      <w:r>
        <w:t xml:space="preserve"> </w:t>
      </w:r>
      <w:r w:rsidR="00904B17">
        <w:t>a mis</w:t>
      </w:r>
      <w:r>
        <w:t xml:space="preserve"> sur pied une </w:t>
      </w:r>
      <w:r w:rsidR="00904B17">
        <w:t>« </w:t>
      </w:r>
      <w:r>
        <w:t>commission constituante consultative</w:t>
      </w:r>
      <w:r w:rsidR="00904B17">
        <w:t> »</w:t>
      </w:r>
      <w:r w:rsidR="00C53199">
        <w:t xml:space="preserve"> </w:t>
      </w:r>
      <w:r w:rsidR="00733DEE">
        <w:t>mandatée pour</w:t>
      </w:r>
      <w:r w:rsidR="00C53199">
        <w:t xml:space="preserve"> conseiller la Junte en matière constitutionnelle. </w:t>
      </w:r>
      <w:r w:rsidR="006B6907">
        <w:t>Cette commission était</w:t>
      </w:r>
      <w:r w:rsidR="00733DEE">
        <w:t xml:space="preserve"> composée de juristes </w:t>
      </w:r>
      <w:r w:rsidR="0012086F">
        <w:t>ayant appuyé</w:t>
      </w:r>
      <w:r w:rsidR="00733DEE">
        <w:t xml:space="preserve"> le coup d’État, dont Jaime Guzman</w:t>
      </w:r>
      <w:r w:rsidR="00DA0A29">
        <w:t>, l’un d</w:t>
      </w:r>
      <w:r w:rsidR="00895E06">
        <w:t>es principaux rédacteurs de la C</w:t>
      </w:r>
      <w:r w:rsidR="00DA0A29">
        <w:t>onstitution de 1980 (Couffignal, 2012)</w:t>
      </w:r>
      <w:r w:rsidR="00733DEE">
        <w:t xml:space="preserve">. </w:t>
      </w:r>
      <w:r w:rsidR="007553C4">
        <w:t xml:space="preserve">Pendant les premières années de la dictature, la Constitution </w:t>
      </w:r>
      <w:r w:rsidR="007553C4" w:rsidRPr="00AB6A1A">
        <w:t>de 1925</w:t>
      </w:r>
      <w:r w:rsidR="00D54842" w:rsidRPr="00AB6A1A">
        <w:t xml:space="preserve"> </w:t>
      </w:r>
      <w:r w:rsidR="0012086F" w:rsidRPr="00AB6A1A">
        <w:t>était</w:t>
      </w:r>
      <w:r w:rsidR="00763F29" w:rsidRPr="00AB6A1A">
        <w:t xml:space="preserve"> officiellement</w:t>
      </w:r>
      <w:r w:rsidR="007553C4">
        <w:t xml:space="preserve"> maintenue, </w:t>
      </w:r>
      <w:r w:rsidR="00DD00FD">
        <w:t xml:space="preserve">tout en étant </w:t>
      </w:r>
      <w:r w:rsidR="007553C4">
        <w:t>contournée par la promulgation de lois édictées par la Junte</w:t>
      </w:r>
      <w:r w:rsidR="00763F29">
        <w:t>.</w:t>
      </w:r>
      <w:r w:rsidR="007553C4">
        <w:t xml:space="preserve"> </w:t>
      </w:r>
      <w:r w:rsidR="00763F29">
        <w:t>L</w:t>
      </w:r>
      <w:r w:rsidR="00904B17">
        <w:t>es deux chambres</w:t>
      </w:r>
      <w:r w:rsidR="00763F29">
        <w:t xml:space="preserve"> étaient supprimées </w:t>
      </w:r>
      <w:r w:rsidR="00DD00FD">
        <w:t>tandis que</w:t>
      </w:r>
      <w:r w:rsidR="00763F29">
        <w:t xml:space="preserve"> la Junte cumulait les pouvoirs législatifs et exécutifs. La répression battait son plein, les partis d’opposition étaient supprimés, les </w:t>
      </w:r>
      <w:r w:rsidR="00903B96">
        <w:t>contrepouvoir</w:t>
      </w:r>
      <w:r w:rsidR="008D1A1A">
        <w:t>s</w:t>
      </w:r>
      <w:r w:rsidR="00763F29">
        <w:t xml:space="preserve"> de la société civile étaient</w:t>
      </w:r>
      <w:r w:rsidR="00895E06">
        <w:t xml:space="preserve"> </w:t>
      </w:r>
      <w:r w:rsidR="00D45D9C">
        <w:t>combattus</w:t>
      </w:r>
      <w:r w:rsidR="00763F29">
        <w:t xml:space="preserve">.  </w:t>
      </w:r>
    </w:p>
    <w:p w14:paraId="7D59739B" w14:textId="77777777" w:rsidR="00385010" w:rsidRDefault="00385010" w:rsidP="006218D4"/>
    <w:p w14:paraId="6BB4FA77" w14:textId="77777777" w:rsidR="006218D4" w:rsidRDefault="00763F29" w:rsidP="006218D4">
      <w:r>
        <w:t xml:space="preserve">Préoccupée de retrouver </w:t>
      </w:r>
      <w:r w:rsidR="00A401A2">
        <w:t>une légitimité</w:t>
      </w:r>
      <w:r w:rsidR="00904B17">
        <w:t xml:space="preserve"> mise à mal par les critiques des institutions internationales</w:t>
      </w:r>
      <w:r w:rsidR="00B14B4D">
        <w:t xml:space="preserve">, la Junte </w:t>
      </w:r>
      <w:r w:rsidR="009E5091">
        <w:t>voulait</w:t>
      </w:r>
      <w:r w:rsidR="00B14B4D">
        <w:t xml:space="preserve"> </w:t>
      </w:r>
      <w:r w:rsidR="00385010">
        <w:t>se doter d’une nouvelle</w:t>
      </w:r>
      <w:r w:rsidR="00B70B04">
        <w:t xml:space="preserve"> C</w:t>
      </w:r>
      <w:r w:rsidR="00B14B4D">
        <w:t xml:space="preserve">onstitution </w:t>
      </w:r>
      <w:r w:rsidR="00385010">
        <w:t xml:space="preserve">pour remplacer celle </w:t>
      </w:r>
      <w:r w:rsidR="00B14B4D">
        <w:t>de 1925</w:t>
      </w:r>
      <w:r w:rsidR="009E5091">
        <w:rPr>
          <w:rStyle w:val="Marquenotebasdepage"/>
        </w:rPr>
        <w:footnoteReference w:id="50"/>
      </w:r>
      <w:r>
        <w:t xml:space="preserve">. </w:t>
      </w:r>
      <w:r w:rsidR="00E1516F">
        <w:t xml:space="preserve">En </w:t>
      </w:r>
      <w:r>
        <w:t>1978, en s’appuyant sur l</w:t>
      </w:r>
      <w:r w:rsidR="00B14B4D">
        <w:t>es propositions préparée</w:t>
      </w:r>
      <w:r w:rsidR="00C154BF">
        <w:t>s</w:t>
      </w:r>
      <w:r w:rsidR="00B14B4D">
        <w:t xml:space="preserve"> </w:t>
      </w:r>
      <w:r w:rsidR="00B14B4D" w:rsidRPr="00AB6A1A">
        <w:t xml:space="preserve">par </w:t>
      </w:r>
      <w:r w:rsidR="004957AA" w:rsidRPr="00AB6A1A">
        <w:t xml:space="preserve">la </w:t>
      </w:r>
      <w:r w:rsidR="00B14B4D" w:rsidRPr="00AB6A1A">
        <w:t>« </w:t>
      </w:r>
      <w:r w:rsidR="00D54842" w:rsidRPr="00AB6A1A">
        <w:t>C</w:t>
      </w:r>
      <w:r w:rsidR="00B14B4D" w:rsidRPr="00AB6A1A">
        <w:t>ommission</w:t>
      </w:r>
      <w:r w:rsidR="00B14B4D">
        <w:t xml:space="preserve"> </w:t>
      </w:r>
      <w:r w:rsidR="00B14B4D">
        <w:lastRenderedPageBreak/>
        <w:t>constituante », Pinochet</w:t>
      </w:r>
      <w:r w:rsidR="000F2AC6">
        <w:t>, qui se faisait</w:t>
      </w:r>
      <w:r w:rsidR="009A58D8">
        <w:t xml:space="preserve"> appeler « p</w:t>
      </w:r>
      <w:r w:rsidR="002C0702">
        <w:t xml:space="preserve">résident </w:t>
      </w:r>
      <w:r w:rsidR="009A58D8">
        <w:t>de la r</w:t>
      </w:r>
      <w:r w:rsidR="00203C41">
        <w:t>épublique »</w:t>
      </w:r>
      <w:r w:rsidR="002C0702">
        <w:t xml:space="preserve"> </w:t>
      </w:r>
      <w:r w:rsidR="004864B9">
        <w:t>depuis</w:t>
      </w:r>
      <w:r w:rsidR="00203C41">
        <w:t xml:space="preserve"> décembre </w:t>
      </w:r>
      <w:r w:rsidR="002C0702">
        <w:t>1974,</w:t>
      </w:r>
      <w:r w:rsidR="00B14B4D">
        <w:t xml:space="preserve"> annonce l’arrivée prochaine d’une </w:t>
      </w:r>
      <w:r w:rsidR="00B14B4D" w:rsidRPr="00AB6A1A">
        <w:t>n</w:t>
      </w:r>
      <w:r w:rsidR="000F2AC6" w:rsidRPr="00AB6A1A">
        <w:t xml:space="preserve">ouvelle </w:t>
      </w:r>
      <w:r w:rsidR="00D54842" w:rsidRPr="00AB6A1A">
        <w:t>c</w:t>
      </w:r>
      <w:r w:rsidR="00A401A2" w:rsidRPr="00AB6A1A">
        <w:t>onstitution</w:t>
      </w:r>
      <w:r w:rsidR="004E689F">
        <w:t>,</w:t>
      </w:r>
      <w:r w:rsidR="00A401A2">
        <w:t xml:space="preserve"> </w:t>
      </w:r>
      <w:r w:rsidR="004957AA">
        <w:t>qu’il s’engage à faire approuver</w:t>
      </w:r>
      <w:r w:rsidR="00B14B4D">
        <w:t xml:space="preserve"> par un plébiscite</w:t>
      </w:r>
      <w:r w:rsidR="00BD0EC5">
        <w:t xml:space="preserve"> (ou référendum)</w:t>
      </w:r>
      <w:r w:rsidR="00C90CF6">
        <w:t xml:space="preserve"> révocatoire</w:t>
      </w:r>
      <w:r w:rsidR="004B2C04">
        <w:rPr>
          <w:rStyle w:val="Marquenotebasdepage"/>
        </w:rPr>
        <w:footnoteReference w:id="51"/>
      </w:r>
      <w:r w:rsidR="00B14B4D">
        <w:t xml:space="preserve">. </w:t>
      </w:r>
      <w:r w:rsidR="0011218E">
        <w:t xml:space="preserve">En </w:t>
      </w:r>
      <w:r w:rsidR="00B70B04">
        <w:t>aou</w:t>
      </w:r>
      <w:r w:rsidR="00B6238D">
        <w:t>t</w:t>
      </w:r>
      <w:r w:rsidR="0011218E">
        <w:t xml:space="preserve"> 1980, la Junte dispose </w:t>
      </w:r>
      <w:r w:rsidR="00231E5C">
        <w:t>d’un</w:t>
      </w:r>
      <w:r w:rsidR="00E1516F">
        <w:t xml:space="preserve"> projet de c</w:t>
      </w:r>
      <w:r w:rsidR="000F2AC6">
        <w:t>onstitution, appelé à faire</w:t>
      </w:r>
      <w:r w:rsidR="0011218E">
        <w:t xml:space="preserve"> l’objet d’un plébiscite</w:t>
      </w:r>
      <w:r w:rsidR="00E1516F">
        <w:t xml:space="preserve">, </w:t>
      </w:r>
      <w:r w:rsidR="0011218E">
        <w:t>le 11 septembre 1980</w:t>
      </w:r>
      <w:r w:rsidR="00C90CF6">
        <w:t>.</w:t>
      </w:r>
      <w:r w:rsidR="0011218E">
        <w:t xml:space="preserve"> </w:t>
      </w:r>
      <w:r w:rsidR="000F2AC6">
        <w:t>Ce plébiscite a été tenu et</w:t>
      </w:r>
      <w:r w:rsidR="0011218E">
        <w:t xml:space="preserve"> ratifié par 67% des personnes </w:t>
      </w:r>
      <w:r w:rsidR="00451A10">
        <w:t>votantes</w:t>
      </w:r>
      <w:r w:rsidR="00E058E7">
        <w:t>,</w:t>
      </w:r>
      <w:r w:rsidR="0011218E">
        <w:t xml:space="preserve"> </w:t>
      </w:r>
      <w:r w:rsidR="00451A10">
        <w:t>avec</w:t>
      </w:r>
      <w:r w:rsidR="0011218E">
        <w:t xml:space="preserve"> des modalités</w:t>
      </w:r>
      <w:r w:rsidR="00451A10">
        <w:t xml:space="preserve"> bien</w:t>
      </w:r>
      <w:r w:rsidR="004864B9">
        <w:t xml:space="preserve"> </w:t>
      </w:r>
      <w:r w:rsidR="00D64046">
        <w:t xml:space="preserve">contrôlées </w:t>
      </w:r>
      <w:r w:rsidR="00D64046" w:rsidRPr="00AB6A1A">
        <w:t xml:space="preserve">par </w:t>
      </w:r>
      <w:r w:rsidR="00D54842" w:rsidRPr="00AB6A1A">
        <w:t>la</w:t>
      </w:r>
      <w:r w:rsidR="00D64046" w:rsidRPr="00AB6A1A">
        <w:t xml:space="preserve"> Junte</w:t>
      </w:r>
      <w:r w:rsidR="00451A10" w:rsidRPr="00AB6A1A">
        <w:t>, ce</w:t>
      </w:r>
      <w:r w:rsidR="00451A10">
        <w:t xml:space="preserve"> qui n’a pas manqué de soulever les critiques de </w:t>
      </w:r>
      <w:r w:rsidR="00BD0EC5">
        <w:t>nombre d’</w:t>
      </w:r>
      <w:r w:rsidR="0011218E">
        <w:t>observateurs internatio</w:t>
      </w:r>
      <w:r w:rsidR="00451A10">
        <w:t>naux et nationaux. La nouvelle C</w:t>
      </w:r>
      <w:r w:rsidR="0011218E">
        <w:t xml:space="preserve">onstitution </w:t>
      </w:r>
      <w:r w:rsidR="00D54842" w:rsidRPr="00AB6A1A">
        <w:t xml:space="preserve">est </w:t>
      </w:r>
      <w:r w:rsidR="00A338B2" w:rsidRPr="00AB6A1A">
        <w:t>entr</w:t>
      </w:r>
      <w:r w:rsidR="00D54842" w:rsidRPr="00AB6A1A">
        <w:t>ée</w:t>
      </w:r>
      <w:r w:rsidR="0011218E" w:rsidRPr="00AB6A1A">
        <w:t xml:space="preserve"> en vigueur </w:t>
      </w:r>
      <w:r w:rsidR="00A338B2" w:rsidRPr="00AB6A1A">
        <w:t>le</w:t>
      </w:r>
      <w:r w:rsidR="0011218E" w:rsidRPr="00AB6A1A">
        <w:t xml:space="preserve"> 11 mars </w:t>
      </w:r>
      <w:r w:rsidR="0011218E" w:rsidRPr="00041832">
        <w:t>1981.</w:t>
      </w:r>
      <w:r w:rsidR="0011218E">
        <w:t xml:space="preserve"> </w:t>
      </w:r>
    </w:p>
    <w:p w14:paraId="18F99C7F" w14:textId="77777777" w:rsidR="007E249C" w:rsidRDefault="007E249C" w:rsidP="006218D4"/>
    <w:p w14:paraId="3AF571F4" w14:textId="77777777" w:rsidR="007E249C" w:rsidRDefault="00EA3C07" w:rsidP="006218D4">
      <w:r>
        <w:t>De manière schématique, voici quelques caractéristiques</w:t>
      </w:r>
      <w:r w:rsidR="001B4E09">
        <w:t xml:space="preserve"> du modèle chilien tel que</w:t>
      </w:r>
      <w:r>
        <w:t xml:space="preserve"> </w:t>
      </w:r>
      <w:r w:rsidR="001B4E09">
        <w:t>défini</w:t>
      </w:r>
      <w:r w:rsidR="004E6614">
        <w:t xml:space="preserve"> par</w:t>
      </w:r>
      <w:r>
        <w:t xml:space="preserve"> la Constitution de 1980</w:t>
      </w:r>
      <w:r w:rsidR="004E6614">
        <w:t xml:space="preserve"> (Le Coq, 2007</w:t>
      </w:r>
      <w:r w:rsidR="00F83DEF">
        <w:t>; Chile, 1980</w:t>
      </w:r>
      <w:r w:rsidR="004E6614">
        <w:t>)</w:t>
      </w:r>
      <w:r w:rsidR="007E249C">
        <w:t xml:space="preserve">. </w:t>
      </w:r>
    </w:p>
    <w:p w14:paraId="752171DB" w14:textId="77777777" w:rsidR="00F83DEF" w:rsidRDefault="00F83DEF" w:rsidP="001A0A28">
      <w:pPr>
        <w:pStyle w:val="Paragraphedeliste"/>
        <w:numPr>
          <w:ilvl w:val="0"/>
          <w:numId w:val="34"/>
        </w:numPr>
      </w:pPr>
      <w:r>
        <w:t xml:space="preserve">Le Chili est une </w:t>
      </w:r>
      <w:r w:rsidR="008F3319">
        <w:t>« </w:t>
      </w:r>
      <w:r w:rsidRPr="001B4E09">
        <w:t>république</w:t>
      </w:r>
      <w:r w:rsidR="008F3319" w:rsidRPr="001B4E09">
        <w:t xml:space="preserve"> démocratique</w:t>
      </w:r>
      <w:r w:rsidR="008F3319" w:rsidRPr="00D63C18">
        <w:rPr>
          <w:i/>
        </w:rPr>
        <w:t> </w:t>
      </w:r>
      <w:r w:rsidR="008F3319">
        <w:t>»</w:t>
      </w:r>
      <w:r>
        <w:t xml:space="preserve"> dotée d’un système politique unitaire et composé de 13 régions</w:t>
      </w:r>
      <w:r w:rsidR="00861291">
        <w:t>, lesquelles sont divisées en provinces</w:t>
      </w:r>
      <w:r>
        <w:t>.</w:t>
      </w:r>
      <w:r w:rsidR="008F3319">
        <w:t xml:space="preserve"> La souveraineté du peuple s’exprime par des plébi</w:t>
      </w:r>
      <w:r w:rsidR="008838FB">
        <w:t>s</w:t>
      </w:r>
      <w:r w:rsidR="008F3319">
        <w:t>cites et des élections périodiques (</w:t>
      </w:r>
      <w:r w:rsidR="00A85B06">
        <w:t xml:space="preserve">Chile, 1980 : </w:t>
      </w:r>
      <w:r w:rsidR="008F3319">
        <w:t xml:space="preserve">art. 4 et 5). </w:t>
      </w:r>
    </w:p>
    <w:p w14:paraId="1F19E50F" w14:textId="77777777" w:rsidR="001A0A28" w:rsidRDefault="004E6614" w:rsidP="001A0A28">
      <w:pPr>
        <w:pStyle w:val="Paragraphedeliste"/>
        <w:numPr>
          <w:ilvl w:val="0"/>
          <w:numId w:val="34"/>
        </w:numPr>
      </w:pPr>
      <w:r>
        <w:t>U</w:t>
      </w:r>
      <w:r w:rsidR="001A0A28">
        <w:t xml:space="preserve">ne </w:t>
      </w:r>
      <w:r w:rsidR="001A0A28" w:rsidRPr="001B4E09">
        <w:t>amnistie</w:t>
      </w:r>
      <w:r>
        <w:t xml:space="preserve"> est accordée</w:t>
      </w:r>
      <w:r w:rsidR="001A0A28">
        <w:t xml:space="preserve"> aux militaires pour les protéger contre d’éventuelles poursuites </w:t>
      </w:r>
      <w:r w:rsidR="001B4E09">
        <w:t>pour</w:t>
      </w:r>
      <w:r w:rsidR="001A0A28">
        <w:t xml:space="preserve"> des </w:t>
      </w:r>
      <w:r>
        <w:t>déli</w:t>
      </w:r>
      <w:r w:rsidR="00AA0E5B">
        <w:t>t</w:t>
      </w:r>
      <w:r>
        <w:t>s</w:t>
      </w:r>
      <w:r w:rsidR="001A0A28">
        <w:t xml:space="preserve"> </w:t>
      </w:r>
      <w:r w:rsidR="00221B65">
        <w:t>commis</w:t>
      </w:r>
      <w:r w:rsidR="001A0A28">
        <w:t xml:space="preserve"> </w:t>
      </w:r>
      <w:r>
        <w:t>entre 1973 et 1978</w:t>
      </w:r>
      <w:r w:rsidR="00284D2D">
        <w:rPr>
          <w:rStyle w:val="Marquenotebasdepage"/>
        </w:rPr>
        <w:footnoteReference w:id="52"/>
      </w:r>
      <w:r w:rsidR="001A0A28">
        <w:t>.</w:t>
      </w:r>
    </w:p>
    <w:p w14:paraId="3F7525B9" w14:textId="77777777" w:rsidR="00D25FBA" w:rsidRDefault="00D25FBA" w:rsidP="001A0A28">
      <w:pPr>
        <w:pStyle w:val="Paragraphedeliste"/>
        <w:numPr>
          <w:ilvl w:val="0"/>
          <w:numId w:val="34"/>
        </w:numPr>
      </w:pPr>
      <w:r>
        <w:t>La</w:t>
      </w:r>
      <w:r w:rsidR="001B4E09">
        <w:t xml:space="preserve"> détermination de</w:t>
      </w:r>
      <w:r>
        <w:t xml:space="preserve"> </w:t>
      </w:r>
      <w:r w:rsidRPr="001B4E09">
        <w:t>lutte</w:t>
      </w:r>
      <w:r w:rsidR="001B4E09">
        <w:t>r</w:t>
      </w:r>
      <w:r w:rsidRPr="001B4E09">
        <w:t xml:space="preserve"> contre le terrorisme</w:t>
      </w:r>
      <w:r>
        <w:t xml:space="preserve"> revient à la manière d’une </w:t>
      </w:r>
      <w:r w:rsidR="001B4E09">
        <w:t>obsession dans divers articles</w:t>
      </w:r>
      <w:r>
        <w:t xml:space="preserve"> (art. 9</w:t>
      </w:r>
      <w:r w:rsidR="008838FB">
        <w:t xml:space="preserve">, </w:t>
      </w:r>
      <w:r w:rsidR="00440185">
        <w:t xml:space="preserve"> 17</w:t>
      </w:r>
      <w:r w:rsidR="008838FB">
        <w:t xml:space="preserve"> et pouvoirs transitoires</w:t>
      </w:r>
      <w:r w:rsidR="00C3510E">
        <w:t>, art.</w:t>
      </w:r>
      <w:r w:rsidR="008838FB">
        <w:t xml:space="preserve"> 24</w:t>
      </w:r>
      <w:r>
        <w:t xml:space="preserve">). </w:t>
      </w:r>
    </w:p>
    <w:p w14:paraId="0C3509AB" w14:textId="77777777" w:rsidR="001A0A28" w:rsidRDefault="006F43AD" w:rsidP="001A0A28">
      <w:pPr>
        <w:pStyle w:val="Paragraphedeliste"/>
        <w:numPr>
          <w:ilvl w:val="0"/>
          <w:numId w:val="34"/>
        </w:numPr>
      </w:pPr>
      <w:r>
        <w:t>Des</w:t>
      </w:r>
      <w:r w:rsidR="004E6614">
        <w:t xml:space="preserve"> balises </w:t>
      </w:r>
      <w:r>
        <w:t>visant la reproduction</w:t>
      </w:r>
      <w:r w:rsidR="00F83DEF">
        <w:t xml:space="preserve"> du</w:t>
      </w:r>
      <w:r w:rsidR="001A0A28">
        <w:t xml:space="preserve"> </w:t>
      </w:r>
      <w:r w:rsidR="001A0A28" w:rsidRPr="006F43AD">
        <w:t>modèle économique néolibéral</w:t>
      </w:r>
      <w:r>
        <w:t xml:space="preserve"> sont placées ici et là</w:t>
      </w:r>
      <w:r w:rsidR="001A0A28">
        <w:t>, par exemple</w:t>
      </w:r>
      <w:r w:rsidR="005C5A6A">
        <w:t xml:space="preserve"> avec des dispositions</w:t>
      </w:r>
      <w:r w:rsidR="001A0A28">
        <w:t xml:space="preserve"> </w:t>
      </w:r>
      <w:r>
        <w:t>pour empêcher</w:t>
      </w:r>
      <w:r w:rsidR="001A0A28">
        <w:t xml:space="preserve"> </w:t>
      </w:r>
      <w:r w:rsidR="004E6614">
        <w:t>la création d’</w:t>
      </w:r>
      <w:r w:rsidR="001A0A28">
        <w:t>entreprises d’État</w:t>
      </w:r>
      <w:r w:rsidR="00C75229">
        <w:t xml:space="preserve"> et </w:t>
      </w:r>
      <w:r w:rsidR="00D54842" w:rsidRPr="00AB6A1A">
        <w:t>pour é</w:t>
      </w:r>
      <w:r w:rsidRPr="00AB6A1A">
        <w:t xml:space="preserve">tablir la </w:t>
      </w:r>
      <w:r w:rsidR="00C75229" w:rsidRPr="00AB6A1A">
        <w:t>centralité</w:t>
      </w:r>
      <w:r w:rsidR="00C75229">
        <w:t xml:space="preserve"> </w:t>
      </w:r>
      <w:r>
        <w:t xml:space="preserve">du </w:t>
      </w:r>
      <w:r w:rsidR="00C75229">
        <w:t>droit</w:t>
      </w:r>
      <w:r w:rsidR="00DB111A">
        <w:t xml:space="preserve"> de propriété</w:t>
      </w:r>
      <w:r w:rsidR="00AA0E5B">
        <w:t xml:space="preserve"> privé</w:t>
      </w:r>
      <w:r w:rsidR="00BB07D1">
        <w:t>e</w:t>
      </w:r>
      <w:r w:rsidR="00DB111A">
        <w:t xml:space="preserve"> (cf. a</w:t>
      </w:r>
      <w:r w:rsidR="00C3510E">
        <w:t>rt.</w:t>
      </w:r>
      <w:r w:rsidR="00DB111A">
        <w:t xml:space="preserve"> 23 et</w:t>
      </w:r>
      <w:r w:rsidR="00C75229">
        <w:t xml:space="preserve"> 24)</w:t>
      </w:r>
      <w:r w:rsidR="001A0A28">
        <w:t>.</w:t>
      </w:r>
    </w:p>
    <w:p w14:paraId="69C0A854" w14:textId="77777777" w:rsidR="001D3A59" w:rsidRDefault="004E6614" w:rsidP="00411388">
      <w:pPr>
        <w:pStyle w:val="Paragraphedeliste"/>
        <w:numPr>
          <w:ilvl w:val="0"/>
          <w:numId w:val="34"/>
        </w:numPr>
      </w:pPr>
      <w:r>
        <w:t>L</w:t>
      </w:r>
      <w:r w:rsidR="002F737B">
        <w:t>a Constitution prévoit</w:t>
      </w:r>
      <w:r w:rsidR="000F7CC5">
        <w:t xml:space="preserve"> que </w:t>
      </w:r>
      <w:r w:rsidR="000F7CC5" w:rsidRPr="006F43AD">
        <w:t xml:space="preserve">deux </w:t>
      </w:r>
      <w:r w:rsidR="004E77BF" w:rsidRPr="006F43AD">
        <w:t>régimes politiques</w:t>
      </w:r>
      <w:r w:rsidR="000F7CC5">
        <w:t xml:space="preserve"> pourraient se succéder </w:t>
      </w:r>
      <w:r w:rsidR="006F43AD">
        <w:t xml:space="preserve">à l’intérieur d’une période de 16 ans, </w:t>
      </w:r>
      <w:r w:rsidR="00402958">
        <w:t>de 1980 à 1996</w:t>
      </w:r>
      <w:r w:rsidR="006F43AD">
        <w:t xml:space="preserve">. D’abord, elle confère </w:t>
      </w:r>
      <w:r w:rsidR="00694DBD">
        <w:t>à Augusto Pinochet</w:t>
      </w:r>
      <w:r w:rsidR="006F43AD">
        <w:t xml:space="preserve"> sur un plateau d’argent </w:t>
      </w:r>
      <w:r w:rsidR="00694DBD">
        <w:t>un mandat de</w:t>
      </w:r>
      <w:r w:rsidR="000F7CC5">
        <w:t xml:space="preserve"> </w:t>
      </w:r>
      <w:r w:rsidR="008B39AE">
        <w:t>8 années</w:t>
      </w:r>
      <w:r w:rsidR="00EE5AF6">
        <w:t xml:space="preserve"> </w:t>
      </w:r>
      <w:r w:rsidR="00F6649C">
        <w:t>supplémentaires</w:t>
      </w:r>
      <w:r w:rsidR="004E77BF">
        <w:t xml:space="preserve">, à partir de l’entrée en vigueur de </w:t>
      </w:r>
      <w:r w:rsidR="00694DBD">
        <w:t>la Constitution</w:t>
      </w:r>
      <w:r w:rsidR="00303C1E">
        <w:t xml:space="preserve">. </w:t>
      </w:r>
      <w:r w:rsidR="006F43AD">
        <w:t xml:space="preserve">En outre, elle </w:t>
      </w:r>
      <w:r w:rsidR="00303C1E">
        <w:t>permet à la Junte gouvernementale de conserver le « pouvoir législatif » et le « pouvoir constituant » (pouvoirs transitoires, art. 18 et 21)</w:t>
      </w:r>
      <w:r w:rsidR="000F7CC5">
        <w:t xml:space="preserve">. </w:t>
      </w:r>
      <w:r w:rsidR="006F43AD">
        <w:t>C’est le premier régime politique</w:t>
      </w:r>
      <w:r w:rsidR="00FD2E99">
        <w:t>. Quant au</w:t>
      </w:r>
      <w:r w:rsidR="000F7CC5">
        <w:t xml:space="preserve"> </w:t>
      </w:r>
      <w:r w:rsidR="000F7CC5" w:rsidRPr="00FD2E99">
        <w:t>deuxième régime</w:t>
      </w:r>
      <w:r w:rsidR="000F7CC5">
        <w:t xml:space="preserve"> politique</w:t>
      </w:r>
      <w:r w:rsidR="00FD2E99">
        <w:t xml:space="preserve">, la </w:t>
      </w:r>
      <w:r w:rsidR="00FD2E99" w:rsidRPr="00AB6A1A">
        <w:t>Constitution prévoit qu’il commencera à la fin des années 1980. Dépendamment des résultats d’un plébiscite révocatoire, ce deuxième régime prendra la forme de l’un des deux scénarios suivants</w:t>
      </w:r>
      <w:r w:rsidR="000F7CC5" w:rsidRPr="00AB6A1A">
        <w:t xml:space="preserve">. </w:t>
      </w:r>
      <w:r w:rsidR="00FD2E99" w:rsidRPr="00AB6A1A">
        <w:t>Le</w:t>
      </w:r>
      <w:r w:rsidR="00E808A4" w:rsidRPr="00AB6A1A">
        <w:t xml:space="preserve"> scénario no 1</w:t>
      </w:r>
      <w:r w:rsidR="00E808A4" w:rsidRPr="00AB6A1A">
        <w:rPr>
          <w:i/>
        </w:rPr>
        <w:t xml:space="preserve"> </w:t>
      </w:r>
      <w:r w:rsidR="00FD2E99" w:rsidRPr="00AB6A1A">
        <w:t>découlerait d’un</w:t>
      </w:r>
      <w:r w:rsidR="00E808A4" w:rsidRPr="00AB6A1A">
        <w:t xml:space="preserve"> plébiscite</w:t>
      </w:r>
      <w:r w:rsidR="001C63C2" w:rsidRPr="00AB6A1A">
        <w:t xml:space="preserve"> qui serait</w:t>
      </w:r>
      <w:r w:rsidR="00E808A4" w:rsidRPr="00AB6A1A">
        <w:t xml:space="preserve"> </w:t>
      </w:r>
      <w:r w:rsidR="00FD2E99" w:rsidRPr="00AB6A1A">
        <w:t>gagné par la Junte. A</w:t>
      </w:r>
      <w:r w:rsidR="00091D4D" w:rsidRPr="00AB6A1A">
        <w:t xml:space="preserve">u terme </w:t>
      </w:r>
      <w:r w:rsidR="00FD2E99" w:rsidRPr="00AB6A1A">
        <w:t>du premier mandat de 8 ans (1980-1988)</w:t>
      </w:r>
      <w:r w:rsidR="00091D4D" w:rsidRPr="00AB6A1A">
        <w:t xml:space="preserve">, </w:t>
      </w:r>
      <w:r w:rsidR="00F83DEF" w:rsidRPr="00AB6A1A">
        <w:t>un</w:t>
      </w:r>
      <w:r w:rsidR="00F6649C" w:rsidRPr="00AB6A1A">
        <w:t xml:space="preserve"> </w:t>
      </w:r>
      <w:r w:rsidR="00091D4D" w:rsidRPr="00AB6A1A">
        <w:t xml:space="preserve">autre </w:t>
      </w:r>
      <w:r w:rsidR="00F6649C" w:rsidRPr="00AB6A1A">
        <w:t>mandat de 8 ans</w:t>
      </w:r>
      <w:r w:rsidR="001C63C2" w:rsidRPr="00AB6A1A">
        <w:t xml:space="preserve"> (1989-1997)</w:t>
      </w:r>
      <w:r w:rsidR="00F6649C" w:rsidRPr="00AB6A1A">
        <w:t xml:space="preserve"> </w:t>
      </w:r>
      <w:r w:rsidR="00091D4D" w:rsidRPr="00AB6A1A">
        <w:t xml:space="preserve">serait </w:t>
      </w:r>
      <w:r w:rsidR="00303C1E" w:rsidRPr="00AB6A1A">
        <w:t>exercé</w:t>
      </w:r>
      <w:r w:rsidR="00091D4D" w:rsidRPr="00AB6A1A">
        <w:t xml:space="preserve"> par </w:t>
      </w:r>
      <w:r w:rsidR="00F83DEF" w:rsidRPr="00AB6A1A">
        <w:t xml:space="preserve">un </w:t>
      </w:r>
      <w:r w:rsidR="00F6649C" w:rsidRPr="00AB6A1A">
        <w:t>c</w:t>
      </w:r>
      <w:r w:rsidR="00F83DEF" w:rsidRPr="00AB6A1A">
        <w:t>andidat à la présidence proposé par la Junte militaire</w:t>
      </w:r>
      <w:r w:rsidR="00694DBD" w:rsidRPr="00AB6A1A">
        <w:t xml:space="preserve">. </w:t>
      </w:r>
      <w:r w:rsidR="00FD2E99" w:rsidRPr="00AB6A1A">
        <w:t>Quant au</w:t>
      </w:r>
      <w:r w:rsidR="00AB5907" w:rsidRPr="00AB6A1A">
        <w:t xml:space="preserve"> </w:t>
      </w:r>
      <w:r w:rsidR="00FD2E99" w:rsidRPr="00AB6A1A">
        <w:t>scénario no 2, il découlerait</w:t>
      </w:r>
      <w:r w:rsidR="00FD2E99">
        <w:t xml:space="preserve"> d’un </w:t>
      </w:r>
      <w:r w:rsidR="00AB5907" w:rsidRPr="00FD2E99">
        <w:t xml:space="preserve">plébiscite </w:t>
      </w:r>
      <w:r w:rsidR="001C63C2">
        <w:t>qui serait perdu par</w:t>
      </w:r>
      <w:r w:rsidR="00091D4D">
        <w:t xml:space="preserve"> </w:t>
      </w:r>
      <w:r w:rsidR="00AB5907">
        <w:t>la Junte</w:t>
      </w:r>
      <w:r w:rsidR="001C63C2">
        <w:t>. À ce moment-là, la Junte</w:t>
      </w:r>
      <w:r w:rsidR="00AB5907">
        <w:t xml:space="preserve"> serait obligée d’organiser des élections </w:t>
      </w:r>
      <w:r w:rsidR="001C63C2">
        <w:t>qui</w:t>
      </w:r>
      <w:r w:rsidR="001D3A59">
        <w:t xml:space="preserve"> seraient non seulement </w:t>
      </w:r>
      <w:r w:rsidR="000522AF">
        <w:t>législatives</w:t>
      </w:r>
      <w:r w:rsidR="001C63C2">
        <w:t>,</w:t>
      </w:r>
      <w:r w:rsidR="00AB5907">
        <w:t xml:space="preserve"> mais aussi président</w:t>
      </w:r>
      <w:r w:rsidR="00D716DA">
        <w:t>ielle</w:t>
      </w:r>
      <w:r w:rsidR="00EA6734">
        <w:t>s</w:t>
      </w:r>
      <w:r w:rsidR="00221D00">
        <w:rPr>
          <w:rStyle w:val="Marquenotebasdepage"/>
        </w:rPr>
        <w:footnoteReference w:id="53"/>
      </w:r>
      <w:r w:rsidR="00E808A4">
        <w:t>.</w:t>
      </w:r>
    </w:p>
    <w:p w14:paraId="1F069C19" w14:textId="77777777" w:rsidR="008B39AE" w:rsidRDefault="00F6649C" w:rsidP="005A79F7">
      <w:pPr>
        <w:pStyle w:val="Paragraphedeliste"/>
        <w:numPr>
          <w:ilvl w:val="0"/>
          <w:numId w:val="34"/>
        </w:numPr>
      </w:pPr>
      <w:r>
        <w:lastRenderedPageBreak/>
        <w:t xml:space="preserve">En somme, </w:t>
      </w:r>
      <w:r w:rsidR="00954BBC">
        <w:t>le premier régime</w:t>
      </w:r>
      <w:r w:rsidR="001D3A59">
        <w:t xml:space="preserve"> de 8 années</w:t>
      </w:r>
      <w:r w:rsidR="00954BBC">
        <w:t xml:space="preserve"> </w:t>
      </w:r>
      <w:r w:rsidR="00B13E10">
        <w:t>imposé par la C</w:t>
      </w:r>
      <w:r w:rsidR="001D3A59">
        <w:t>onstitution</w:t>
      </w:r>
      <w:r w:rsidR="00954BBC">
        <w:t xml:space="preserve"> devait consister, p</w:t>
      </w:r>
      <w:r w:rsidR="00E97A24">
        <w:t>our reprendre une formulation du sociologue Manuel Antonio</w:t>
      </w:r>
      <w:r w:rsidR="00954BBC">
        <w:t xml:space="preserve"> Garreton, « </w:t>
      </w:r>
      <w:r w:rsidR="00AE3584">
        <w:t xml:space="preserve"> en une cristallisation de la dictature, mais avec une Constitution. Le second était sensé être un régime civil strictement autoritaire avec v</w:t>
      </w:r>
      <w:r w:rsidR="00215501">
        <w:t>é</w:t>
      </w:r>
      <w:r w:rsidR="00954BBC">
        <w:t>to des militaires » (</w:t>
      </w:r>
      <w:r w:rsidR="00AE3584">
        <w:t xml:space="preserve">2014a :14). </w:t>
      </w:r>
      <w:r w:rsidR="00C71193">
        <w:t>Les formes concrètes de la transition entre les deux régimes politiques n’étaient pas</w:t>
      </w:r>
      <w:r w:rsidR="00954BBC">
        <w:t xml:space="preserve"> </w:t>
      </w:r>
      <w:r w:rsidR="001D3A59">
        <w:t>limpides</w:t>
      </w:r>
      <w:r w:rsidR="00411388">
        <w:t>, surtout dans l’hypothèse d’une victoire du NON au plébiscite révocatoire</w:t>
      </w:r>
      <w:r w:rsidR="005049D7">
        <w:t xml:space="preserve"> de 1988</w:t>
      </w:r>
      <w:r w:rsidR="00C71193">
        <w:t xml:space="preserve">. </w:t>
      </w:r>
      <w:r w:rsidR="001C63C2">
        <w:t xml:space="preserve">Pour s’en rendre compte, </w:t>
      </w:r>
      <w:r w:rsidR="001C63C2" w:rsidRPr="00AB6A1A">
        <w:t xml:space="preserve">il suffit de </w:t>
      </w:r>
      <w:r w:rsidR="00AB6A1A" w:rsidRPr="00AB6A1A">
        <w:t xml:space="preserve">rappeler </w:t>
      </w:r>
      <w:r w:rsidR="001C63C2" w:rsidRPr="00AB6A1A">
        <w:t>que</w:t>
      </w:r>
      <w:r w:rsidR="00C568D9" w:rsidRPr="00AB6A1A">
        <w:t xml:space="preserve"> 29 des </w:t>
      </w:r>
      <w:r w:rsidR="001D3A59" w:rsidRPr="00AB6A1A">
        <w:t>120 articles de la</w:t>
      </w:r>
      <w:r w:rsidR="001D3A59">
        <w:t xml:space="preserve"> Constitution</w:t>
      </w:r>
      <w:r w:rsidR="00EA6734">
        <w:t xml:space="preserve"> de 1980</w:t>
      </w:r>
      <w:r w:rsidR="001D3A59">
        <w:t xml:space="preserve"> </w:t>
      </w:r>
      <w:r w:rsidR="00AB6A1A">
        <w:t>auraient pu</w:t>
      </w:r>
      <w:r w:rsidR="00C568D9">
        <w:t xml:space="preserve"> </w:t>
      </w:r>
      <w:r w:rsidR="00AB6A1A">
        <w:t>devenir applicables seulement à partir de l’année 1996, c’est-à-dire pas moins de 16 ans après l’</w:t>
      </w:r>
      <w:r w:rsidR="00C568D9">
        <w:t>adoption</w:t>
      </w:r>
      <w:r w:rsidR="00AB6A1A">
        <w:t xml:space="preserve"> de cette </w:t>
      </w:r>
      <w:r w:rsidR="007F0E0A">
        <w:t>Constitution</w:t>
      </w:r>
      <w:r w:rsidR="00884B20">
        <w:t xml:space="preserve">. Néanmoins, </w:t>
      </w:r>
      <w:r w:rsidR="005049D7">
        <w:t xml:space="preserve">dans le cas d’une défaite du OUI au plébiscite de 1988, </w:t>
      </w:r>
      <w:r w:rsidR="00884B20">
        <w:t xml:space="preserve">la Constitution </w:t>
      </w:r>
      <w:r w:rsidR="005049D7">
        <w:t xml:space="preserve">de 1980 </w:t>
      </w:r>
      <w:r w:rsidR="00884B20">
        <w:t>prévoit que Pinochet gouverne</w:t>
      </w:r>
      <w:r w:rsidR="005049D7">
        <w:t>rait</w:t>
      </w:r>
      <w:r w:rsidR="00884B20">
        <w:t xml:space="preserve"> encore un an </w:t>
      </w:r>
      <w:r w:rsidR="005049D7">
        <w:t>pour</w:t>
      </w:r>
      <w:r w:rsidR="00884B20">
        <w:t xml:space="preserve"> mett</w:t>
      </w:r>
      <w:r w:rsidR="005049D7">
        <w:t>r</w:t>
      </w:r>
      <w:r w:rsidR="00884B20">
        <w:t>e</w:t>
      </w:r>
      <w:r w:rsidR="005049D7">
        <w:t xml:space="preserve"> en place des élections libres</w:t>
      </w:r>
      <w:r w:rsidR="00884B20">
        <w:t xml:space="preserve"> </w:t>
      </w:r>
      <w:r w:rsidR="00954BBC">
        <w:t>(Le Coq, 2007</w:t>
      </w:r>
      <w:r w:rsidR="00C568D9">
        <w:t xml:space="preserve">). </w:t>
      </w:r>
      <w:r w:rsidR="005A79F7">
        <w:t>Ainsi, la Constitution de 1980 fait miroiter une transition à la démocratie qui renvoie à un horizon lointain (pas avant 1996 si le plébiscite révocatoire tenu au bout d’un premier mandat de 8 ans est gagné par la Junte), tout en imposant une prolongation de la dictature militaire pour au mo</w:t>
      </w:r>
      <w:r w:rsidR="00CC75F0">
        <w:t>ins 8 années (de 1980 à 1988)</w:t>
      </w:r>
      <w:r w:rsidR="00B13E10">
        <w:t xml:space="preserve"> et, p</w:t>
      </w:r>
      <w:r w:rsidR="00EA6734">
        <w:t xml:space="preserve">ossiblement, </w:t>
      </w:r>
      <w:r w:rsidR="005A79F7">
        <w:t>pour 16 années (de 1980 à 1996).</w:t>
      </w:r>
    </w:p>
    <w:p w14:paraId="5B9F2F0A" w14:textId="77777777" w:rsidR="00297FC7" w:rsidRDefault="00E65F46" w:rsidP="008B39AE">
      <w:pPr>
        <w:pStyle w:val="Paragraphedeliste"/>
        <w:numPr>
          <w:ilvl w:val="0"/>
          <w:numId w:val="34"/>
        </w:numPr>
      </w:pPr>
      <w:r>
        <w:t>La Constitution</w:t>
      </w:r>
      <w:r w:rsidR="00CC75F0">
        <w:t xml:space="preserve"> prévoit</w:t>
      </w:r>
      <w:r w:rsidR="008B39AE">
        <w:t xml:space="preserve"> qu’avec </w:t>
      </w:r>
      <w:r w:rsidR="00297FC7">
        <w:t>la transition vers</w:t>
      </w:r>
      <w:r w:rsidR="00105552">
        <w:t xml:space="preserve"> la démocratie, </w:t>
      </w:r>
      <w:r w:rsidR="008B39AE">
        <w:t>la distinction classique des trois pouvoirs</w:t>
      </w:r>
      <w:r w:rsidR="00EE5AF6">
        <w:t xml:space="preserve"> (exécutif, législatif et judiciaire) s’appliquerait. </w:t>
      </w:r>
    </w:p>
    <w:p w14:paraId="04DC892C" w14:textId="77777777" w:rsidR="00297FC7" w:rsidRDefault="00EE5AF6" w:rsidP="00AA0E5B">
      <w:pPr>
        <w:pStyle w:val="Paragraphedeliste"/>
        <w:numPr>
          <w:ilvl w:val="0"/>
          <w:numId w:val="34"/>
        </w:numPr>
      </w:pPr>
      <w:r>
        <w:t xml:space="preserve">Le </w:t>
      </w:r>
      <w:r w:rsidRPr="005049D7">
        <w:t xml:space="preserve">pouvoir </w:t>
      </w:r>
      <w:r w:rsidR="008B39AE" w:rsidRPr="005049D7">
        <w:t>exécutif</w:t>
      </w:r>
      <w:r>
        <w:t xml:space="preserve"> relèverait du Président</w:t>
      </w:r>
      <w:r w:rsidR="00297FC7">
        <w:t>,</w:t>
      </w:r>
      <w:r>
        <w:t xml:space="preserve"> éligible </w:t>
      </w:r>
      <w:r w:rsidRPr="003005FC">
        <w:t xml:space="preserve">pour </w:t>
      </w:r>
      <w:r w:rsidR="00221D00" w:rsidRPr="003005FC">
        <w:t>un mandat de 6</w:t>
      </w:r>
      <w:r w:rsidRPr="003005FC">
        <w:t xml:space="preserve"> ans</w:t>
      </w:r>
      <w:r w:rsidR="00F75167">
        <w:t xml:space="preserve"> à partir d’un système d’élection à deux tours</w:t>
      </w:r>
      <w:r w:rsidR="00CF2796">
        <w:t xml:space="preserve"> permettant d’obtenir une majorité des suffrages (art. 26)</w:t>
      </w:r>
      <w:r w:rsidR="00C50D6C" w:rsidRPr="006A2B87">
        <w:rPr>
          <w:rStyle w:val="Marquenotebasdepage"/>
        </w:rPr>
        <w:footnoteReference w:id="54"/>
      </w:r>
      <w:r>
        <w:t xml:space="preserve">. </w:t>
      </w:r>
      <w:r w:rsidR="00AA0E5B">
        <w:t>Le président d</w:t>
      </w:r>
      <w:r w:rsidR="005049D7">
        <w:t>étient des droits de véto et d’autres</w:t>
      </w:r>
      <w:r w:rsidR="00AA0E5B">
        <w:t xml:space="preserve"> pouvoirs importants</w:t>
      </w:r>
      <w:r w:rsidR="00AA0E5B">
        <w:rPr>
          <w:rStyle w:val="Marquenotebasdepage"/>
        </w:rPr>
        <w:footnoteReference w:id="55"/>
      </w:r>
      <w:r w:rsidR="00AA0E5B">
        <w:t xml:space="preserve">. </w:t>
      </w:r>
    </w:p>
    <w:p w14:paraId="1B871E1A" w14:textId="77777777" w:rsidR="00E65F46" w:rsidRDefault="00EE5AF6" w:rsidP="008B39AE">
      <w:pPr>
        <w:pStyle w:val="Paragraphedeliste"/>
        <w:numPr>
          <w:ilvl w:val="0"/>
          <w:numId w:val="34"/>
        </w:numPr>
      </w:pPr>
      <w:r>
        <w:t xml:space="preserve">Le </w:t>
      </w:r>
      <w:r w:rsidRPr="003B6E1B">
        <w:t xml:space="preserve">pouvoir </w:t>
      </w:r>
      <w:r w:rsidR="008B39AE" w:rsidRPr="003B6E1B">
        <w:t>législatif</w:t>
      </w:r>
      <w:r>
        <w:t xml:space="preserve"> renvoyait à un Congrès bicaméral comprenant </w:t>
      </w:r>
      <w:r w:rsidR="00B67189">
        <w:t>une</w:t>
      </w:r>
      <w:r>
        <w:t xml:space="preserve"> Chambre </w:t>
      </w:r>
      <w:r w:rsidR="00B67189" w:rsidRPr="00221D00">
        <w:t>de 120 députés élus</w:t>
      </w:r>
      <w:r w:rsidRPr="00221D00">
        <w:t xml:space="preserve"> et </w:t>
      </w:r>
      <w:r w:rsidR="00B67189" w:rsidRPr="00221D00">
        <w:t>un</w:t>
      </w:r>
      <w:r w:rsidRPr="00221D00">
        <w:t xml:space="preserve"> </w:t>
      </w:r>
      <w:r w:rsidRPr="003E7DB1">
        <w:t>Sénat</w:t>
      </w:r>
      <w:r w:rsidR="00B67189" w:rsidRPr="003E7DB1">
        <w:t xml:space="preserve"> </w:t>
      </w:r>
      <w:r w:rsidR="001C1E1A">
        <w:t>composé de</w:t>
      </w:r>
      <w:r w:rsidR="003E7DB1" w:rsidRPr="003E7DB1">
        <w:t xml:space="preserve"> 26 élus</w:t>
      </w:r>
      <w:r w:rsidR="001C1E1A">
        <w:t xml:space="preserve"> et, potentiellement, de 10 autres personnes</w:t>
      </w:r>
      <w:r w:rsidR="00B67189" w:rsidRPr="003E7DB1">
        <w:t xml:space="preserve"> nommé</w:t>
      </w:r>
      <w:r w:rsidR="001C1E1A">
        <w:t>e</w:t>
      </w:r>
      <w:r w:rsidR="00B67189" w:rsidRPr="003E7DB1">
        <w:t xml:space="preserve">s par </w:t>
      </w:r>
      <w:r w:rsidR="004C3EC2">
        <w:t>le régime militaire</w:t>
      </w:r>
      <w:r w:rsidR="003E7DB1">
        <w:t xml:space="preserve">, </w:t>
      </w:r>
      <w:r w:rsidR="001C1E1A">
        <w:t>ce qui incluait</w:t>
      </w:r>
      <w:r w:rsidR="003E7DB1">
        <w:t xml:space="preserve"> </w:t>
      </w:r>
      <w:r w:rsidR="00E65F46">
        <w:t>l’</w:t>
      </w:r>
      <w:r w:rsidR="003E7DB1">
        <w:t xml:space="preserve">addition </w:t>
      </w:r>
      <w:r w:rsidR="00E65F46">
        <w:t>possible</w:t>
      </w:r>
      <w:r w:rsidR="0019467E">
        <w:t xml:space="preserve"> </w:t>
      </w:r>
      <w:r w:rsidR="0019467E">
        <w:rPr>
          <w:rFonts w:ascii="Cambria" w:hAnsi="Cambria"/>
        </w:rPr>
        <w:t>—</w:t>
      </w:r>
      <w:r w:rsidR="0019467E">
        <w:t>d’ailleurs faite par la suite pour Pinochet en 1998</w:t>
      </w:r>
      <w:r w:rsidR="0019467E">
        <w:rPr>
          <w:rFonts w:ascii="Cambria" w:hAnsi="Cambria"/>
        </w:rPr>
        <w:t>—</w:t>
      </w:r>
      <w:r w:rsidR="00E65F46">
        <w:t xml:space="preserve"> </w:t>
      </w:r>
      <w:r w:rsidR="003E7DB1">
        <w:t>d’un ancien président qui pouvait d</w:t>
      </w:r>
      <w:r w:rsidR="0019467E">
        <w:t>evenir sénateur à vie</w:t>
      </w:r>
      <w:r w:rsidR="00A85B06">
        <w:t xml:space="preserve"> (</w:t>
      </w:r>
      <w:r w:rsidR="00E14697">
        <w:t xml:space="preserve">art. </w:t>
      </w:r>
      <w:r w:rsidR="00A85B06">
        <w:t>42</w:t>
      </w:r>
      <w:r w:rsidR="006A0BFD">
        <w:t>-</w:t>
      </w:r>
      <w:r w:rsidR="0017717D">
        <w:t>46</w:t>
      </w:r>
      <w:r w:rsidR="00E14697">
        <w:t>)</w:t>
      </w:r>
      <w:r>
        <w:t>.</w:t>
      </w:r>
    </w:p>
    <w:p w14:paraId="299A7901" w14:textId="77777777" w:rsidR="001C1E1A" w:rsidRDefault="00D70F0F" w:rsidP="008B39AE">
      <w:pPr>
        <w:pStyle w:val="Paragraphedeliste"/>
        <w:numPr>
          <w:ilvl w:val="0"/>
          <w:numId w:val="34"/>
        </w:numPr>
      </w:pPr>
      <w:r>
        <w:t xml:space="preserve">Un </w:t>
      </w:r>
      <w:r w:rsidR="00E65F46" w:rsidRPr="003B6E1B">
        <w:t>mode de scrutin</w:t>
      </w:r>
      <w:r w:rsidRPr="003B6E1B">
        <w:t xml:space="preserve"> binominal</w:t>
      </w:r>
      <w:r>
        <w:t xml:space="preserve"> à un tour est prévu pour les élections législatives, </w:t>
      </w:r>
      <w:r w:rsidR="00852306">
        <w:t xml:space="preserve">c’est-à-dire </w:t>
      </w:r>
      <w:r>
        <w:t xml:space="preserve">pour </w:t>
      </w:r>
      <w:r w:rsidR="003B6E1B">
        <w:t>l’élection des sénateurs et d</w:t>
      </w:r>
      <w:r>
        <w:t>es députés</w:t>
      </w:r>
      <w:r w:rsidR="00A43E26">
        <w:rPr>
          <w:rStyle w:val="Marquenotebasdepage"/>
        </w:rPr>
        <w:footnoteReference w:id="56"/>
      </w:r>
      <w:r w:rsidR="00E65F46">
        <w:t xml:space="preserve">. </w:t>
      </w:r>
      <w:r w:rsidR="00F75167">
        <w:t>Ce</w:t>
      </w:r>
      <w:r w:rsidR="00A85B01">
        <w:t xml:space="preserve"> mode de scrutin</w:t>
      </w:r>
      <w:r w:rsidR="00F75167">
        <w:t xml:space="preserve"> est</w:t>
      </w:r>
      <w:r w:rsidR="00A85B01">
        <w:t xml:space="preserve"> </w:t>
      </w:r>
      <w:r w:rsidR="00676543">
        <w:t>une véritable arnaque</w:t>
      </w:r>
      <w:r w:rsidR="00A85B01">
        <w:t xml:space="preserve">. </w:t>
      </w:r>
      <w:r w:rsidR="00F75167">
        <w:t>Voici</w:t>
      </w:r>
      <w:r w:rsidR="00AF5388">
        <w:t xml:space="preserve"> la description qu’en fait le site du Sénat français </w:t>
      </w:r>
      <w:r w:rsidR="00C24E88">
        <w:t>en se référant</w:t>
      </w:r>
      <w:r w:rsidR="00AF5388">
        <w:t xml:space="preserve"> aux sénateurs</w:t>
      </w:r>
      <w:r w:rsidR="00C24E88">
        <w:t xml:space="preserve">, même si la description s’applique aussi aux députés </w:t>
      </w:r>
      <w:r w:rsidR="00AF5388">
        <w:t xml:space="preserve">: « Dans chaque </w:t>
      </w:r>
      <w:r w:rsidR="00AF5388">
        <w:lastRenderedPageBreak/>
        <w:t>circonscription, des listes binominales (« tickets ») sont en lice. Sont élus sénateurs</w:t>
      </w:r>
      <w:r w:rsidR="00C24E88">
        <w:t xml:space="preserve"> [ou députés]</w:t>
      </w:r>
      <w:r w:rsidR="00AF5388">
        <w:t xml:space="preserve"> les deux candidats d’un même ticket si celui-ci obtient un total de voix au moins deux fois supérieur au score du ticket arrivant en seconde position. Si tel n’est pas le cas, un sénateur est désigné dans chacun des deux « tickets » ayant recueilli le plus grand nombre de voix » (Sénat de la France, 2014)</w:t>
      </w:r>
      <w:r w:rsidR="00C24E88">
        <w:rPr>
          <w:rStyle w:val="Marquenotebasdepage"/>
        </w:rPr>
        <w:footnoteReference w:id="57"/>
      </w:r>
      <w:r w:rsidR="00AF5388">
        <w:t>.</w:t>
      </w:r>
      <w:r w:rsidR="008B39AE">
        <w:t xml:space="preserve"> </w:t>
      </w:r>
      <w:r w:rsidR="00F75167">
        <w:t xml:space="preserve">Le même mode de scrutin est retenu pour l’élection des députés de la Chambre des représentants. C’est un verrou qui </w:t>
      </w:r>
      <w:r w:rsidR="00C24E88">
        <w:t xml:space="preserve">rétrécit </w:t>
      </w:r>
      <w:r w:rsidR="00F75167">
        <w:t>la démocratie aménagée par la Constitution</w:t>
      </w:r>
      <w:r w:rsidR="0057157B">
        <w:t xml:space="preserve"> et favorisera les intérêts de la dictature longtemps après</w:t>
      </w:r>
      <w:r w:rsidR="00523189">
        <w:t xml:space="preserve"> la fin de la dictature et</w:t>
      </w:r>
      <w:r w:rsidR="0057157B">
        <w:t xml:space="preserve"> </w:t>
      </w:r>
      <w:r w:rsidR="00523189">
        <w:t>l’entrée du Chili dans la transition démocratique en 1990</w:t>
      </w:r>
      <w:r w:rsidR="00F75167">
        <w:t xml:space="preserve">.  </w:t>
      </w:r>
    </w:p>
    <w:p w14:paraId="2620DFA0" w14:textId="77777777" w:rsidR="00CF413A" w:rsidRDefault="00F75167" w:rsidP="008B39AE">
      <w:pPr>
        <w:pStyle w:val="Paragraphedeliste"/>
        <w:numPr>
          <w:ilvl w:val="0"/>
          <w:numId w:val="34"/>
        </w:numPr>
      </w:pPr>
      <w:r>
        <w:t xml:space="preserve">Les </w:t>
      </w:r>
      <w:r w:rsidR="002F737B">
        <w:t>procédures</w:t>
      </w:r>
      <w:r>
        <w:t xml:space="preserve"> pour </w:t>
      </w:r>
      <w:r w:rsidRPr="003B6E1B">
        <w:t>amender la Constitution</w:t>
      </w:r>
      <w:r>
        <w:t xml:space="preserve"> ajoutent d’autres verrous</w:t>
      </w:r>
      <w:r w:rsidR="00FD57A5">
        <w:t xml:space="preserve"> et demeurent complexes selon une diversité de cas de figure pouvant surgir</w:t>
      </w:r>
      <w:r w:rsidR="00FC6ECF">
        <w:t xml:space="preserve">, par exemple, selon que la présidence est d’accord ou pas avec les propositions de modification initiées par les deux chambres. Mais dans tous les cas, une majorité </w:t>
      </w:r>
      <w:r w:rsidR="000040F6">
        <w:t>d’au moins l</w:t>
      </w:r>
      <w:r w:rsidR="00FC6ECF">
        <w:t>es 3/5 des deux chambres est requise. Dans d’autres cas, une majorité d’au moins les 2/3 ou les</w:t>
      </w:r>
      <w:r w:rsidR="00F36754">
        <w:t xml:space="preserve"> 3/4</w:t>
      </w:r>
      <w:r w:rsidR="00FC6ECF">
        <w:t xml:space="preserve"> des membres des deux chambres est requise</w:t>
      </w:r>
      <w:r w:rsidR="003100EE">
        <w:t>. Dans certains cas, un plébiscite est permis, dans d’autre cas</w:t>
      </w:r>
      <w:r w:rsidR="00A8724A">
        <w:t xml:space="preserve"> il ne l’est</w:t>
      </w:r>
      <w:r w:rsidR="003100EE">
        <w:t xml:space="preserve"> pas</w:t>
      </w:r>
      <w:r w:rsidR="00FC6ECF">
        <w:t xml:space="preserve"> (art. </w:t>
      </w:r>
      <w:r w:rsidR="00A8724A">
        <w:t xml:space="preserve"> 63 et </w:t>
      </w:r>
      <w:r w:rsidR="00FC6ECF">
        <w:t>116-119).</w:t>
      </w:r>
      <w:r w:rsidR="003100EE">
        <w:t xml:space="preserve"> </w:t>
      </w:r>
    </w:p>
    <w:p w14:paraId="562FC2CF" w14:textId="77777777" w:rsidR="008B39AE" w:rsidRDefault="001C1E1A" w:rsidP="008B39AE">
      <w:pPr>
        <w:pStyle w:val="Paragraphedeliste"/>
        <w:numPr>
          <w:ilvl w:val="0"/>
          <w:numId w:val="34"/>
        </w:numPr>
      </w:pPr>
      <w:r>
        <w:t>A</w:t>
      </w:r>
      <w:r w:rsidR="008B39AE">
        <w:t>vant la transition démocratique</w:t>
      </w:r>
      <w:r w:rsidR="00B67189">
        <w:t xml:space="preserve"> « restreinte » pouvant survenir 8 ans après l’entrée en vigueur de la Constitution</w:t>
      </w:r>
      <w:r w:rsidR="008B39AE">
        <w:t xml:space="preserve">, </w:t>
      </w:r>
      <w:r w:rsidR="003B6E1B">
        <w:t>c’est-à-dire à partir de 1988, la J</w:t>
      </w:r>
      <w:r w:rsidR="008B39AE">
        <w:t>unte militaire</w:t>
      </w:r>
      <w:r w:rsidR="00BA3440">
        <w:t>,</w:t>
      </w:r>
      <w:r w:rsidR="008B39AE">
        <w:t xml:space="preserve"> </w:t>
      </w:r>
      <w:r w:rsidR="00B67189">
        <w:t>dans les faits</w:t>
      </w:r>
      <w:r w:rsidR="00BA3440">
        <w:t>, continuait</w:t>
      </w:r>
      <w:r w:rsidR="008B39AE">
        <w:t xml:space="preserve"> d’assumer les pouvoirs exécutifs et législatifs</w:t>
      </w:r>
      <w:r w:rsidR="009B4FA1">
        <w:t xml:space="preserve"> et de contrôler le </w:t>
      </w:r>
      <w:r w:rsidR="00105552">
        <w:t xml:space="preserve">pouvoir </w:t>
      </w:r>
      <w:r w:rsidR="009B4FA1">
        <w:t>judiciaire</w:t>
      </w:r>
      <w:r w:rsidR="008B39AE">
        <w:t>.</w:t>
      </w:r>
      <w:r w:rsidR="00105552">
        <w:t xml:space="preserve"> </w:t>
      </w:r>
    </w:p>
    <w:p w14:paraId="01515632" w14:textId="77777777" w:rsidR="007E1C4A" w:rsidRDefault="00C568D9" w:rsidP="007E1C4A">
      <w:pPr>
        <w:pStyle w:val="Paragraphedeliste"/>
        <w:numPr>
          <w:ilvl w:val="0"/>
          <w:numId w:val="34"/>
        </w:numPr>
      </w:pPr>
      <w:r>
        <w:t>Garreton résume</w:t>
      </w:r>
      <w:r w:rsidR="001C1E1A">
        <w:t xml:space="preserve"> </w:t>
      </w:r>
      <w:r w:rsidR="001A543B">
        <w:t>bien</w:t>
      </w:r>
      <w:r>
        <w:t xml:space="preserve"> les règles du jeu</w:t>
      </w:r>
      <w:r w:rsidR="001C1E1A">
        <w:t xml:space="preserve"> qui restreignaient la portée de la transition démocratique annoncée</w:t>
      </w:r>
      <w:r>
        <w:t xml:space="preserve"> : </w:t>
      </w:r>
      <w:r w:rsidR="00D22E36">
        <w:t>« La Constitution a établi un système politique dans lequel la minorité qui soutenait la dictature avait le même poids électoral que la majorité qui y était opposée. Le mode de scrutin est tel qu’il est extrêmement difficile pour les électeurs d’élire deux candidats d’un même parti</w:t>
      </w:r>
      <w:r w:rsidR="00221B65">
        <w:t>, quand</w:t>
      </w:r>
      <w:r w:rsidR="006F5A81">
        <w:t xml:space="preserve"> bien même ce parti obtient la maj</w:t>
      </w:r>
      <w:r w:rsidR="001A543B">
        <w:t>orité des votes. D</w:t>
      </w:r>
      <w:r w:rsidR="00221B65">
        <w:t>onc</w:t>
      </w:r>
      <w:r w:rsidR="001A543B">
        <w:t>,</w:t>
      </w:r>
      <w:r w:rsidR="00221B65">
        <w:t xml:space="preserve"> les membres du Congrès sont toujours divisés à parts égales entre deux blocs, </w:t>
      </w:r>
      <w:r w:rsidR="001A543B">
        <w:t xml:space="preserve">alors que, </w:t>
      </w:r>
      <w:r w:rsidR="00221B65">
        <w:t xml:space="preserve">pour changer la Constitution, une majorité de 75% est nécessaire. C’est donc impossible. À quoi la Constitution sert-elle après tout? À maintenir le modèle économique. » (Garreton, 2014a :15). </w:t>
      </w:r>
      <w:r w:rsidR="00C24E88">
        <w:t xml:space="preserve">C’est ce qui </w:t>
      </w:r>
      <w:r w:rsidR="00523189">
        <w:t xml:space="preserve">a amené Garreton à </w:t>
      </w:r>
      <w:r w:rsidR="00C24E88">
        <w:t>d</w:t>
      </w:r>
      <w:r w:rsidR="002308DE">
        <w:t xml:space="preserve">ire </w:t>
      </w:r>
      <w:r w:rsidR="002308DE" w:rsidRPr="005343DC">
        <w:t>ailleurs que « l</w:t>
      </w:r>
      <w:r w:rsidR="00C24E88" w:rsidRPr="005343DC">
        <w:t>’époque</w:t>
      </w:r>
      <w:r w:rsidR="00C24E88">
        <w:t xml:space="preserve"> postpinochet n’est pas une époque pleinement démocratique » (2007 :177).</w:t>
      </w:r>
    </w:p>
    <w:p w14:paraId="28646B39" w14:textId="77777777" w:rsidR="003100EE" w:rsidRDefault="003100EE" w:rsidP="003100EE">
      <w:pPr>
        <w:pStyle w:val="Paragraphedeliste"/>
        <w:ind w:left="360"/>
      </w:pPr>
    </w:p>
    <w:p w14:paraId="2F721FE2" w14:textId="77777777" w:rsidR="007E1C4A" w:rsidRDefault="00B71B9D" w:rsidP="003100EE">
      <w:r>
        <w:t>En bref, q</w:t>
      </w:r>
      <w:r w:rsidR="00E373E8">
        <w:t>ue s’est-il passé entre l’adoption de la Constituti</w:t>
      </w:r>
      <w:r w:rsidR="00E64ACC">
        <w:t>on de 1980 et le retour de Michel</w:t>
      </w:r>
      <w:r w:rsidR="00E373E8">
        <w:t xml:space="preserve">le Bachelet à la présidence du Chili en 2014?  </w:t>
      </w:r>
    </w:p>
    <w:p w14:paraId="483DEC97" w14:textId="77777777" w:rsidR="006432B8" w:rsidRDefault="00E373E8" w:rsidP="00E373E8">
      <w:pPr>
        <w:pStyle w:val="Paragraphedeliste"/>
        <w:numPr>
          <w:ilvl w:val="0"/>
          <w:numId w:val="35"/>
        </w:numPr>
      </w:pPr>
      <w:r>
        <w:t xml:space="preserve">Conformément à la Constitution, Pinochet a exercé un mandat présidentiel de 8 ans </w:t>
      </w:r>
      <w:r w:rsidR="002D079B">
        <w:t>qui s’est intercalé</w:t>
      </w:r>
      <w:r>
        <w:t xml:space="preserve"> entre le 11 mars 1981 et le 11 mars 1989.</w:t>
      </w:r>
      <w:r w:rsidR="00A42656">
        <w:t xml:space="preserve"> </w:t>
      </w:r>
      <w:r w:rsidR="002D079B">
        <w:t>Ce mandat a été prolongé d’un an</w:t>
      </w:r>
      <w:r w:rsidR="00451DCE">
        <w:t>,</w:t>
      </w:r>
      <w:r w:rsidR="002D079B">
        <w:t xml:space="preserve"> à la suite de la </w:t>
      </w:r>
      <w:r w:rsidR="00183251">
        <w:t>victoire du NON lors du p</w:t>
      </w:r>
      <w:r w:rsidR="002D079B">
        <w:t>lébiscite révocatoire de 1988.</w:t>
      </w:r>
    </w:p>
    <w:p w14:paraId="0AAA49FE" w14:textId="77777777" w:rsidR="00E373E8" w:rsidRDefault="00A42656" w:rsidP="00E373E8">
      <w:pPr>
        <w:pStyle w:val="Paragraphedeliste"/>
        <w:numPr>
          <w:ilvl w:val="0"/>
          <w:numId w:val="35"/>
        </w:numPr>
      </w:pPr>
      <w:r>
        <w:t xml:space="preserve">Au cours des années </w:t>
      </w:r>
      <w:r w:rsidR="002D079B">
        <w:t>1987 à 1990</w:t>
      </w:r>
      <w:r>
        <w:t>, des dispositions transitoires sont adoptées par la Junte</w:t>
      </w:r>
      <w:r w:rsidR="006432B8">
        <w:t>, entre autres pour rendre possible la tenue</w:t>
      </w:r>
      <w:r w:rsidR="002D079B">
        <w:t xml:space="preserve"> et les suites</w:t>
      </w:r>
      <w:r w:rsidR="006432B8">
        <w:t xml:space="preserve"> du plébiscite </w:t>
      </w:r>
      <w:r w:rsidR="002D079B">
        <w:t>de 1988</w:t>
      </w:r>
      <w:r w:rsidR="00DB4274">
        <w:t xml:space="preserve"> sur la reconduction de Pinochet</w:t>
      </w:r>
      <w:r w:rsidR="00183251">
        <w:t>,</w:t>
      </w:r>
      <w:r w:rsidR="00DB4274">
        <w:t xml:space="preserve"> dont la candidature avait été annoncée par la Junte dès 1987</w:t>
      </w:r>
      <w:r w:rsidR="001C28B8">
        <w:t xml:space="preserve">. </w:t>
      </w:r>
      <w:r w:rsidR="00B71B9D">
        <w:t>D</w:t>
      </w:r>
      <w:r w:rsidR="00676E36">
        <w:t>ans l</w:t>
      </w:r>
      <w:r w:rsidR="001C28B8">
        <w:t>e contexte</w:t>
      </w:r>
      <w:r w:rsidR="00676E36">
        <w:t xml:space="preserve"> de la préparation du plébiscite</w:t>
      </w:r>
      <w:r w:rsidR="00B71B9D">
        <w:t xml:space="preserve">, </w:t>
      </w:r>
      <w:r w:rsidR="006432B8">
        <w:t xml:space="preserve">on assiste à la légalisation </w:t>
      </w:r>
      <w:r w:rsidR="00676E36">
        <w:t>d’une quinzaine de</w:t>
      </w:r>
      <w:r w:rsidR="006432B8">
        <w:t xml:space="preserve"> partis politique d’opposition</w:t>
      </w:r>
      <w:r w:rsidR="002D079B">
        <w:t xml:space="preserve">, </w:t>
      </w:r>
      <w:r w:rsidR="001C28B8">
        <w:t>à l’établissement des listes électorales</w:t>
      </w:r>
      <w:r w:rsidR="006432B8">
        <w:t xml:space="preserve"> </w:t>
      </w:r>
      <w:r w:rsidR="002D079B">
        <w:t>etc</w:t>
      </w:r>
      <w:r w:rsidR="006432B8">
        <w:t>.</w:t>
      </w:r>
      <w:r w:rsidR="001C28B8">
        <w:t xml:space="preserve"> </w:t>
      </w:r>
      <w:r w:rsidR="006432B8">
        <w:t xml:space="preserve"> </w:t>
      </w:r>
    </w:p>
    <w:p w14:paraId="41E54B12" w14:textId="77777777" w:rsidR="00A03BD3" w:rsidRDefault="00A03BD3" w:rsidP="00E373E8">
      <w:pPr>
        <w:pStyle w:val="Paragraphedeliste"/>
        <w:numPr>
          <w:ilvl w:val="0"/>
          <w:numId w:val="35"/>
        </w:numPr>
      </w:pPr>
      <w:r>
        <w:lastRenderedPageBreak/>
        <w:t>En février 1988</w:t>
      </w:r>
      <w:r w:rsidR="001C28B8">
        <w:t xml:space="preserve">, les forces sont enlignées pour le plébiscite. </w:t>
      </w:r>
      <w:r w:rsidR="00183251">
        <w:t>Treize</w:t>
      </w:r>
      <w:r w:rsidR="001C28B8">
        <w:t xml:space="preserve"> formations politiques forment une coalition appelée </w:t>
      </w:r>
      <w:r w:rsidR="001C28B8">
        <w:rPr>
          <w:i/>
        </w:rPr>
        <w:t>Concertation de Partis pour le Non</w:t>
      </w:r>
      <w:r w:rsidR="001C28B8">
        <w:t xml:space="preserve"> </w:t>
      </w:r>
      <w:r w:rsidR="00507FDD">
        <w:t xml:space="preserve">(qui deviendra plus tard la </w:t>
      </w:r>
      <w:r w:rsidR="00507FDD">
        <w:rPr>
          <w:i/>
        </w:rPr>
        <w:t xml:space="preserve">Concertation des Partis pour la </w:t>
      </w:r>
      <w:r w:rsidR="00507FDD" w:rsidRPr="00507FDD">
        <w:rPr>
          <w:i/>
        </w:rPr>
        <w:t>démocratie</w:t>
      </w:r>
      <w:r w:rsidR="00507FDD">
        <w:t xml:space="preserve">) </w:t>
      </w:r>
      <w:r w:rsidR="001C28B8" w:rsidRPr="00507FDD">
        <w:t>et</w:t>
      </w:r>
      <w:r w:rsidR="001C28B8">
        <w:t xml:space="preserve"> mobilisent la population en faveur de la participation au plébiscite référendaire.</w:t>
      </w:r>
    </w:p>
    <w:p w14:paraId="147DDB6A" w14:textId="77777777" w:rsidR="001C28B8" w:rsidRDefault="001C28B8" w:rsidP="00E373E8">
      <w:pPr>
        <w:pStyle w:val="Paragraphedeliste"/>
        <w:numPr>
          <w:ilvl w:val="0"/>
          <w:numId w:val="35"/>
        </w:numPr>
      </w:pPr>
      <w:r>
        <w:t>La campagne référendaire</w:t>
      </w:r>
      <w:r w:rsidR="00B71B9D">
        <w:t xml:space="preserve"> dure un mois, </w:t>
      </w:r>
      <w:r>
        <w:t xml:space="preserve">entre le 5 septembre et le 5 octobre 1988. </w:t>
      </w:r>
    </w:p>
    <w:p w14:paraId="3B573E3C" w14:textId="77777777" w:rsidR="001C28B8" w:rsidRDefault="00DD73AD" w:rsidP="00E373E8">
      <w:pPr>
        <w:pStyle w:val="Paragraphedeliste"/>
        <w:numPr>
          <w:ilvl w:val="0"/>
          <w:numId w:val="35"/>
        </w:numPr>
      </w:pPr>
      <w:r>
        <w:t>Les résultats du plébiscite révocatoire du 5 octobre 1988 sont les s</w:t>
      </w:r>
      <w:r w:rsidR="00183251">
        <w:t>uivants : 46 % en faveur du OUI;</w:t>
      </w:r>
      <w:r>
        <w:t xml:space="preserve"> 54 % en faveur du NON. </w:t>
      </w:r>
      <w:r w:rsidR="00AF1CC0">
        <w:t>Officiellement, c’est la fin de la dictature et le retour à la démocratie au Chili qui pointent à l’horizon.</w:t>
      </w:r>
    </w:p>
    <w:p w14:paraId="1CFB5DA3" w14:textId="77777777" w:rsidR="00AF1CC0" w:rsidRDefault="002569F1" w:rsidP="00E373E8">
      <w:pPr>
        <w:pStyle w:val="Paragraphedeliste"/>
        <w:numPr>
          <w:ilvl w:val="0"/>
          <w:numId w:val="35"/>
        </w:numPr>
      </w:pPr>
      <w:r>
        <w:t xml:space="preserve">Le mandat de 8 ans de Pinochet à la présidence devait se terminer le 11 mars 1989. Dans les faits, il </w:t>
      </w:r>
      <w:r w:rsidR="00676E36">
        <w:t>s’est terminé</w:t>
      </w:r>
      <w:r>
        <w:t xml:space="preserve"> un an plus tard, le 11 mars 1990, ce qui a donné le temps nécessaire pour organiser des élections présidentielles</w:t>
      </w:r>
      <w:r w:rsidR="00676E36">
        <w:t xml:space="preserve"> à un tour</w:t>
      </w:r>
      <w:r>
        <w:t xml:space="preserve"> et législatives à deux tours</w:t>
      </w:r>
      <w:r w:rsidR="00183251">
        <w:t>.</w:t>
      </w:r>
      <w:r w:rsidR="00840195">
        <w:t xml:space="preserve"> </w:t>
      </w:r>
      <w:r w:rsidR="00183251">
        <w:t>Ces élections</w:t>
      </w:r>
      <w:r w:rsidR="00676E36">
        <w:t xml:space="preserve"> ont eu lieu</w:t>
      </w:r>
      <w:r w:rsidR="00840195">
        <w:t xml:space="preserve"> en décembre 1989. Patricio Aylwin du Parti démocrate chrétien et candidat de la </w:t>
      </w:r>
      <w:r w:rsidR="00840195">
        <w:rPr>
          <w:i/>
        </w:rPr>
        <w:t>Concertation des partis pour la démocratie</w:t>
      </w:r>
      <w:r w:rsidR="00840195">
        <w:t xml:space="preserve"> a été élu </w:t>
      </w:r>
      <w:r w:rsidR="00183251">
        <w:t xml:space="preserve">Président </w:t>
      </w:r>
      <w:r w:rsidR="00840195">
        <w:t>dès le premier tour</w:t>
      </w:r>
      <w:r w:rsidR="001A305C">
        <w:t xml:space="preserve"> avec</w:t>
      </w:r>
      <w:r w:rsidR="00676E36">
        <w:t xml:space="preserve"> une majorité de</w:t>
      </w:r>
      <w:r w:rsidR="001A305C">
        <w:t xml:space="preserve"> 55% des voix</w:t>
      </w:r>
      <w:r w:rsidR="00840195">
        <w:t xml:space="preserve">. </w:t>
      </w:r>
      <w:r w:rsidR="00676E36">
        <w:t>« Dès lors, le paysage politique devient bipolaire et la junte militaire doit composer politiquement avec les principaux vainqueurs de la consultatio</w:t>
      </w:r>
      <w:r w:rsidR="00AE3516">
        <w:t xml:space="preserve">n, les socialistes et les démocrates-chrétiens (la future </w:t>
      </w:r>
      <w:r w:rsidR="00AE3516">
        <w:rPr>
          <w:i/>
        </w:rPr>
        <w:t>Concertation</w:t>
      </w:r>
      <w:r w:rsidR="00AE3516">
        <w:t>), ce qui</w:t>
      </w:r>
      <w:r w:rsidR="00605DA3">
        <w:t xml:space="preserve"> laisse augurer</w:t>
      </w:r>
      <w:r w:rsidR="00AE3516">
        <w:t xml:space="preserve"> une transition exceptionnellement longue et négociée</w:t>
      </w:r>
      <w:r w:rsidR="00676E36">
        <w:t>»</w:t>
      </w:r>
      <w:r w:rsidR="00AE3516">
        <w:t xml:space="preserve"> (Le Coq, 2007). </w:t>
      </w:r>
    </w:p>
    <w:p w14:paraId="724407E2" w14:textId="77777777" w:rsidR="001A305C" w:rsidRDefault="00FD2FD2" w:rsidP="00E373E8">
      <w:pPr>
        <w:pStyle w:val="Paragraphedeliste"/>
        <w:numPr>
          <w:ilvl w:val="0"/>
          <w:numId w:val="35"/>
        </w:numPr>
      </w:pPr>
      <w:r>
        <w:t xml:space="preserve">Entre 1990 et 2013, le Chili a été gouverné par 5 présidents, dont 4 appartenaient à la Concertation (Patricio Aylwin, Eduardo Frei, </w:t>
      </w:r>
      <w:r w:rsidR="00B34391">
        <w:t xml:space="preserve">Ricardo </w:t>
      </w:r>
      <w:r>
        <w:t>Lagos, et Michelle Bachelet</w:t>
      </w:r>
      <w:r w:rsidR="00B34391">
        <w:t>) et un à la droite (</w:t>
      </w:r>
      <w:r w:rsidR="009E2D3B" w:rsidRPr="009E2D3B">
        <w:t>Sebastián Piñera</w:t>
      </w:r>
      <w:r w:rsidR="009E2D3B">
        <w:t>)</w:t>
      </w:r>
      <w:r w:rsidR="001438E3">
        <w:t>.</w:t>
      </w:r>
    </w:p>
    <w:p w14:paraId="36EF68DB" w14:textId="77777777" w:rsidR="00BA3440" w:rsidRDefault="00BA3440" w:rsidP="00E373E8">
      <w:pPr>
        <w:pStyle w:val="Paragraphedeliste"/>
        <w:numPr>
          <w:ilvl w:val="0"/>
          <w:numId w:val="35"/>
        </w:numPr>
      </w:pPr>
      <w:r>
        <w:t>Au cours des dernières années, certains mouvements sociaux, notamment le mouvement des Indigènes Mapuche et le mouvement étudiant</w:t>
      </w:r>
      <w:r w:rsidR="0072252D">
        <w:t xml:space="preserve"> ont fait ressortir le caractère inachevé et incomplet de la transition démocratique réalisée sous les gouvernements de la Concertation depuis 1990</w:t>
      </w:r>
      <w:r w:rsidR="00B97EC5">
        <w:t xml:space="preserve"> et la nécessité d’une nouvelle constitution</w:t>
      </w:r>
      <w:r w:rsidR="0072252D">
        <w:t xml:space="preserve">. </w:t>
      </w:r>
      <w:r w:rsidR="008C3CBB">
        <w:t>Le mouvement étudiant</w:t>
      </w:r>
      <w:r w:rsidR="00AB4320">
        <w:t>,</w:t>
      </w:r>
      <w:r w:rsidR="008C3CBB">
        <w:t xml:space="preserve"> qui a commencé avec une révolte des étudiants du secondaire en 2006 (sous Bachelet I) </w:t>
      </w:r>
      <w:r w:rsidR="008C3CBB" w:rsidRPr="005343DC">
        <w:t>a culminé</w:t>
      </w:r>
      <w:r w:rsidR="008C3CBB">
        <w:t xml:space="preserve"> en 2011 et 2012 avec la mobilisation des étudiants universitaires</w:t>
      </w:r>
      <w:r w:rsidR="006B21C4">
        <w:t>. Cette mobilisation étudiante,</w:t>
      </w:r>
      <w:r w:rsidR="008C3CBB">
        <w:t xml:space="preserve"> appuyée par une forte partie de la population</w:t>
      </w:r>
      <w:r w:rsidR="00AB4320">
        <w:t xml:space="preserve">, </w:t>
      </w:r>
      <w:r w:rsidR="0017050C">
        <w:t>a mis en évidence les limites d</w:t>
      </w:r>
      <w:r w:rsidR="006B21C4">
        <w:t>u système politique binominal. Elle a révélé aussi</w:t>
      </w:r>
      <w:r w:rsidR="0017050C">
        <w:t xml:space="preserve"> l’incapacité des partis politiques des deux coalitions (la Concertation au centre gauche et l’Alliance à droite) de remédier aux problèmes et de répondre à leurs revendications</w:t>
      </w:r>
      <w:r w:rsidR="00AD59EB">
        <w:t xml:space="preserve"> (pour une éducation publique, gratuite et de qualité)</w:t>
      </w:r>
      <w:r w:rsidR="0017050C">
        <w:t xml:space="preserve"> sans favoriser l’adoption d’une nouvelle constitution. Comme le note Georges Couffignal (2012) : « Pour la première fois au Chili depuis 1989, le thème de l’élaboration d’une nouvelle constituti</w:t>
      </w:r>
      <w:r w:rsidR="00C24E88">
        <w:t>on, grâce aux jeunes, commençait</w:t>
      </w:r>
      <w:r w:rsidR="0017050C">
        <w:t xml:space="preserve"> à prendre consistance dans les débats politiques. »  </w:t>
      </w:r>
    </w:p>
    <w:p w14:paraId="199667DD" w14:textId="77777777" w:rsidR="001438E3" w:rsidRDefault="001438E3" w:rsidP="001438E3"/>
    <w:p w14:paraId="3A1B35A5" w14:textId="77777777" w:rsidR="001438E3" w:rsidRDefault="001438E3" w:rsidP="001438E3">
      <w:r>
        <w:t>De 1980 à 2014, la Constitution de 1980 a été amendée à diverses reprises</w:t>
      </w:r>
      <w:r w:rsidR="00985CD3">
        <w:t>, notamment en 2005</w:t>
      </w:r>
      <w:r>
        <w:t xml:space="preserve">. </w:t>
      </w:r>
      <w:r w:rsidR="00AE3516">
        <w:t xml:space="preserve">Certains verrous ont été éliminés, mais d’autres </w:t>
      </w:r>
      <w:r w:rsidR="00985CD3">
        <w:t>ne l’ont pas été, notamment le système électoral binominal</w:t>
      </w:r>
      <w:r w:rsidR="009610DC">
        <w:t xml:space="preserve"> à un tour qui régit l’élection des parlementaires des deux chambres</w:t>
      </w:r>
      <w:r w:rsidR="00AE3516">
        <w:t>. P</w:t>
      </w:r>
      <w:r w:rsidR="006076F3">
        <w:t>our l’essentiel, l’</w:t>
      </w:r>
      <w:r>
        <w:t>architecture</w:t>
      </w:r>
      <w:r w:rsidR="00183251">
        <w:t xml:space="preserve"> politique</w:t>
      </w:r>
      <w:r>
        <w:t xml:space="preserve"> </w:t>
      </w:r>
      <w:r w:rsidR="00AE3516">
        <w:t xml:space="preserve">est demeurée la même et favorise les forces sociopolitiques et socioéconomiques rangées </w:t>
      </w:r>
      <w:r w:rsidR="00044AA1">
        <w:t xml:space="preserve">du côté de </w:t>
      </w:r>
      <w:r w:rsidR="00AE3516">
        <w:t>la dictature depuis le coup d’État</w:t>
      </w:r>
      <w:r>
        <w:t>.</w:t>
      </w:r>
      <w:r w:rsidR="00AA51A7">
        <w:t xml:space="preserve"> Si nous revenons à  notre problématique de la co-construction démocratique</w:t>
      </w:r>
      <w:r w:rsidR="00F951C8">
        <w:t xml:space="preserve">, nous pouvons dire que la Constitution de 1980 </w:t>
      </w:r>
      <w:r w:rsidR="00AE3516">
        <w:t>demeure l’exemple parfait d’une</w:t>
      </w:r>
      <w:r w:rsidR="00F951C8">
        <w:t xml:space="preserve"> constitution non construite démocratiquement</w:t>
      </w:r>
      <w:r w:rsidR="00985CD3">
        <w:t xml:space="preserve"> et qui bloque le parachèvement du retour à la démocratie au </w:t>
      </w:r>
      <w:r w:rsidR="00985CD3">
        <w:lastRenderedPageBreak/>
        <w:t>Chili</w:t>
      </w:r>
      <w:r w:rsidR="00F951C8">
        <w:t>. À se</w:t>
      </w:r>
      <w:r w:rsidR="00654CC9">
        <w:t>s origines, elle a été construit</w:t>
      </w:r>
      <w:r w:rsidR="00F951C8">
        <w:t xml:space="preserve">e par un chef d’État et un pouvoir exécutif non élus, qui, </w:t>
      </w:r>
      <w:r w:rsidR="00654CC9">
        <w:t>en plus</w:t>
      </w:r>
      <w:r w:rsidR="00F951C8">
        <w:t>, s’appropria</w:t>
      </w:r>
      <w:r w:rsidR="00654CC9">
        <w:t xml:space="preserve">ient les pouvoirs législatifs </w:t>
      </w:r>
      <w:r w:rsidR="00E01604">
        <w:t xml:space="preserve">et se </w:t>
      </w:r>
      <w:r w:rsidR="00E01604" w:rsidRPr="003E0340">
        <w:t>préoccupaient</w:t>
      </w:r>
      <w:r w:rsidR="00F951C8" w:rsidRPr="003E0340">
        <w:t xml:space="preserve"> nullement </w:t>
      </w:r>
      <w:r w:rsidR="0088728D" w:rsidRPr="003E0340">
        <w:t xml:space="preserve">de </w:t>
      </w:r>
      <w:r w:rsidR="00F951C8" w:rsidRPr="003E0340">
        <w:t>la participation de</w:t>
      </w:r>
      <w:r w:rsidR="00F951C8">
        <w:t xml:space="preserve"> la société civile, si ce n’est à partir d’un simulacre de plébiscite tenu dans des conditions douteuses.</w:t>
      </w:r>
    </w:p>
    <w:p w14:paraId="40E5C2CC" w14:textId="77777777" w:rsidR="004E27CB" w:rsidRDefault="004E27CB" w:rsidP="006218D4"/>
    <w:p w14:paraId="496EED5E" w14:textId="77777777" w:rsidR="006C3360" w:rsidRPr="006C3360" w:rsidRDefault="006C3360" w:rsidP="004F4EB4">
      <w:pPr>
        <w:rPr>
          <w:u w:val="single"/>
        </w:rPr>
      </w:pPr>
      <w:r>
        <w:rPr>
          <w:u w:val="single"/>
        </w:rPr>
        <w:t>L’enjeu de l’Assemblée constituante pour</w:t>
      </w:r>
      <w:r w:rsidR="0011218E">
        <w:rPr>
          <w:u w:val="single"/>
        </w:rPr>
        <w:t xml:space="preserve"> le gouvernement de</w:t>
      </w:r>
      <w:r>
        <w:rPr>
          <w:u w:val="single"/>
        </w:rPr>
        <w:t xml:space="preserve"> Bachelet II</w:t>
      </w:r>
    </w:p>
    <w:p w14:paraId="3F950025" w14:textId="77777777" w:rsidR="00555E84" w:rsidRDefault="00E759DC" w:rsidP="004F4EB4">
      <w:r>
        <w:t xml:space="preserve">Francisco Javier </w:t>
      </w:r>
      <w:r w:rsidR="003E4459">
        <w:t>Estévez Valencia (2013)</w:t>
      </w:r>
      <w:r w:rsidR="00004579">
        <w:t>, un historien</w:t>
      </w:r>
      <w:r w:rsidR="004C077D">
        <w:t xml:space="preserve"> de g</w:t>
      </w:r>
      <w:r w:rsidR="00862171">
        <w:t>auche proche conseiller de Michel</w:t>
      </w:r>
      <w:r w:rsidR="004C077D">
        <w:t>le Bachelet sur la participation citoyenne,</w:t>
      </w:r>
      <w:r w:rsidR="003E4459">
        <w:t xml:space="preserve"> réfléchit </w:t>
      </w:r>
      <w:r w:rsidR="00183251">
        <w:t xml:space="preserve">depuis longtemps </w:t>
      </w:r>
      <w:r w:rsidR="003E4459">
        <w:t xml:space="preserve">sur les processus d’assemblée constituante dans le Chili </w:t>
      </w:r>
      <w:r w:rsidR="0059012D">
        <w:t>actuel</w:t>
      </w:r>
      <w:r w:rsidR="00CB1CB1">
        <w:t>. À cet effet,  il tire</w:t>
      </w:r>
      <w:r w:rsidR="003E4459">
        <w:t xml:space="preserve"> des leçons </w:t>
      </w:r>
      <w:r w:rsidR="004F4EB4">
        <w:t>de plusieurs expériences</w:t>
      </w:r>
      <w:r w:rsidR="00183251">
        <w:t xml:space="preserve"> de réformes constitutionnelles</w:t>
      </w:r>
      <w:r w:rsidR="004F4EB4">
        <w:t xml:space="preserve"> antérieures au Chili, en ALC et en Europe. Il fait ressortir que</w:t>
      </w:r>
      <w:r w:rsidR="00A856EE">
        <w:t>,</w:t>
      </w:r>
      <w:r w:rsidR="004F4EB4">
        <w:t xml:space="preserve"> d</w:t>
      </w:r>
      <w:r w:rsidR="003E4459">
        <w:t xml:space="preserve">ans la majorité des cas de figure, le pouvoir exécutif, conquis par les élections ou un coup d’État, se présente comme autorité constituante sans se préoccuper du pouvoir constituant du peuple souverain. </w:t>
      </w:r>
      <w:r w:rsidR="006110DA">
        <w:t>Estév</w:t>
      </w:r>
      <w:r w:rsidR="00CB1CB1">
        <w:t xml:space="preserve">ez </w:t>
      </w:r>
      <w:r w:rsidR="00C10F4B">
        <w:t>tient compte</w:t>
      </w:r>
      <w:r w:rsidR="00CB1CB1">
        <w:t xml:space="preserve"> du fait que la C</w:t>
      </w:r>
      <w:r w:rsidR="006110DA">
        <w:t>onstitution de 1980</w:t>
      </w:r>
      <w:r w:rsidR="00CB1CB1">
        <w:t>,</w:t>
      </w:r>
      <w:r w:rsidR="006110DA">
        <w:t xml:space="preserve"> </w:t>
      </w:r>
      <w:r w:rsidR="00C10F4B">
        <w:t>conçue par</w:t>
      </w:r>
      <w:r w:rsidR="006110DA">
        <w:t xml:space="preserve"> la dictature</w:t>
      </w:r>
      <w:r w:rsidR="00CB1CB1">
        <w:t xml:space="preserve"> militaire,</w:t>
      </w:r>
      <w:r w:rsidR="006110DA">
        <w:t xml:space="preserve"> est « verrouillée »</w:t>
      </w:r>
      <w:r w:rsidR="00555E84">
        <w:t xml:space="preserve"> ou « hermétique »</w:t>
      </w:r>
      <w:r w:rsidR="006110DA">
        <w:t xml:space="preserve">, d’une manière qui bloque la participation d’une partie des acteurs politiques et de l’ensemble des acteurs de la société civile. </w:t>
      </w:r>
      <w:r w:rsidR="00C10F4B">
        <w:t>À la suite de ce constat</w:t>
      </w:r>
      <w:r w:rsidR="006110DA">
        <w:t xml:space="preserve">, </w:t>
      </w:r>
      <w:r w:rsidR="0059012D">
        <w:t>il</w:t>
      </w:r>
      <w:r w:rsidR="006110DA">
        <w:t xml:space="preserve"> réfléchit aux avenues stratégiques qui permett</w:t>
      </w:r>
      <w:r w:rsidR="00A856EE">
        <w:t>raient de « déverrouiller » la C</w:t>
      </w:r>
      <w:r w:rsidR="006110DA">
        <w:t xml:space="preserve">onstitution et </w:t>
      </w:r>
      <w:r w:rsidR="00C10F4B">
        <w:t xml:space="preserve">de </w:t>
      </w:r>
      <w:r w:rsidR="006110DA">
        <w:t>procéder à une réforme constitutionnelle favor</w:t>
      </w:r>
      <w:r w:rsidR="00C10F4B">
        <w:t>isant</w:t>
      </w:r>
      <w:r w:rsidR="006110DA">
        <w:t xml:space="preserve"> sa démocratisation. </w:t>
      </w:r>
      <w:r w:rsidR="005C6071">
        <w:t xml:space="preserve">À sa manière, il </w:t>
      </w:r>
      <w:r w:rsidR="00C10F4B">
        <w:t>cherche</w:t>
      </w:r>
      <w:r w:rsidR="00555E84">
        <w:t xml:space="preserve"> les stratégies </w:t>
      </w:r>
      <w:r w:rsidR="00C10F4B">
        <w:t>favorables à</w:t>
      </w:r>
      <w:r w:rsidR="00555E84">
        <w:t xml:space="preserve"> la co-construction démocratique d’une nouvelle constitution au Chili. </w:t>
      </w:r>
      <w:r w:rsidR="00CB1CB1">
        <w:t>Citons-le</w:t>
      </w:r>
      <w:r w:rsidR="00C10F4B">
        <w:t>,</w:t>
      </w:r>
      <w:r w:rsidR="00555E84">
        <w:t xml:space="preserve"> au moment où il livre </w:t>
      </w:r>
      <w:r w:rsidR="00A86D03">
        <w:t>son diagnostic concernant la source du verrouillage</w:t>
      </w:r>
      <w:r w:rsidR="00CB1CB1">
        <w:t xml:space="preserve"> de la Constitution </w:t>
      </w:r>
      <w:r w:rsidR="00C10F4B">
        <w:t>de</w:t>
      </w:r>
      <w:r w:rsidR="00CB1CB1">
        <w:t xml:space="preserve"> Pinochet</w:t>
      </w:r>
      <w:r w:rsidR="00555E84">
        <w:t>:</w:t>
      </w:r>
    </w:p>
    <w:p w14:paraId="523372D7" w14:textId="77777777" w:rsidR="00555E84" w:rsidRDefault="00555E84" w:rsidP="004F4EB4"/>
    <w:p w14:paraId="1AC9956C" w14:textId="77777777" w:rsidR="003E4459" w:rsidRPr="004F4EB4" w:rsidRDefault="003E4459" w:rsidP="00555E84">
      <w:pPr>
        <w:ind w:left="708"/>
        <w:rPr>
          <w:rStyle w:val="lev"/>
          <w:b w:val="0"/>
          <w:bCs w:val="0"/>
        </w:rPr>
      </w:pPr>
      <w:r>
        <w:t>« </w:t>
      </w:r>
      <w:r w:rsidR="00555E84">
        <w:t>Au total, à partir d’une conception démocratique de l’État de droit, le problème principal d’une Constitution hermétique n’est pas l’artifice des majorités qualifiées qui font des diff</w:t>
      </w:r>
      <w:r w:rsidR="00BC12DA">
        <w:t>icultés aux réformes substantielle</w:t>
      </w:r>
      <w:r w:rsidR="00555E84">
        <w:t>s</w:t>
      </w:r>
      <w:r w:rsidR="00BC12DA">
        <w:t xml:space="preserve">, mais </w:t>
      </w:r>
      <w:r w:rsidR="00BC12DA" w:rsidRPr="00F00DAC">
        <w:rPr>
          <w:i/>
        </w:rPr>
        <w:t>la négation juridique de la volonté constituante du peuple souverain</w:t>
      </w:r>
      <w:r w:rsidR="00BC12DA">
        <w:t>.</w:t>
      </w:r>
      <w:r w:rsidR="00BC12DA">
        <w:rPr>
          <w:rStyle w:val="lev"/>
          <w:rFonts w:eastAsia="Times New Roman" w:cs="Times New Roman"/>
        </w:rPr>
        <w:t xml:space="preserve"> </w:t>
      </w:r>
      <w:r w:rsidR="00BC12DA">
        <w:rPr>
          <w:rStyle w:val="lev"/>
          <w:rFonts w:eastAsia="Times New Roman" w:cs="Times New Roman"/>
          <w:b w:val="0"/>
        </w:rPr>
        <w:t xml:space="preserve">De telle </w:t>
      </w:r>
      <w:r w:rsidR="00F00DAC">
        <w:rPr>
          <w:rStyle w:val="lev"/>
          <w:rFonts w:eastAsia="Times New Roman" w:cs="Times New Roman"/>
          <w:b w:val="0"/>
        </w:rPr>
        <w:t>sorte</w:t>
      </w:r>
      <w:r w:rsidR="00BC12DA">
        <w:rPr>
          <w:rStyle w:val="lev"/>
          <w:rFonts w:eastAsia="Times New Roman" w:cs="Times New Roman"/>
          <w:b w:val="0"/>
        </w:rPr>
        <w:t xml:space="preserve"> que </w:t>
      </w:r>
      <w:r w:rsidR="00BC12DA">
        <w:rPr>
          <w:rStyle w:val="lev"/>
          <w:rFonts w:ascii="Cambria" w:eastAsia="Times New Roman" w:hAnsi="Cambria" w:cs="Times New Roman"/>
          <w:b w:val="0"/>
        </w:rPr>
        <w:t>—</w:t>
      </w:r>
      <w:r w:rsidR="00CB1CB1">
        <w:rPr>
          <w:rFonts w:eastAsia="Times New Roman" w:cs="Times New Roman"/>
        </w:rPr>
        <w:t>et ici se trouve la s</w:t>
      </w:r>
      <w:r w:rsidR="00BC12DA">
        <w:rPr>
          <w:rFonts w:eastAsia="Times New Roman" w:cs="Times New Roman"/>
        </w:rPr>
        <w:t>errure antidémocratique</w:t>
      </w:r>
      <w:r w:rsidR="00BC12DA">
        <w:rPr>
          <w:rStyle w:val="lev"/>
          <w:rFonts w:ascii="Cambria" w:eastAsia="Times New Roman" w:hAnsi="Cambria" w:cs="Times New Roman"/>
          <w:b w:val="0"/>
        </w:rPr>
        <w:t>—</w:t>
      </w:r>
      <w:r w:rsidRPr="004F4EB4">
        <w:rPr>
          <w:rFonts w:eastAsia="Times New Roman" w:cs="Times New Roman"/>
        </w:rPr>
        <w:t xml:space="preserve"> </w:t>
      </w:r>
      <w:r w:rsidR="00A856EE">
        <w:rPr>
          <w:rFonts w:eastAsia="Times New Roman" w:cs="Times New Roman"/>
        </w:rPr>
        <w:t>on exclut</w:t>
      </w:r>
      <w:r w:rsidR="00BC12DA">
        <w:rPr>
          <w:rFonts w:eastAsia="Times New Roman" w:cs="Times New Roman"/>
        </w:rPr>
        <w:t xml:space="preserve"> du texte constitutionnel le droit de la citoyenneté d’approuver directement par la majorité absolue du su</w:t>
      </w:r>
      <w:r w:rsidR="00F00DAC">
        <w:rPr>
          <w:rFonts w:eastAsia="Times New Roman" w:cs="Times New Roman"/>
        </w:rPr>
        <w:t>f</w:t>
      </w:r>
      <w:r w:rsidR="00BC12DA">
        <w:rPr>
          <w:rFonts w:eastAsia="Times New Roman" w:cs="Times New Roman"/>
        </w:rPr>
        <w:t>frage universel, libre, secret et informé, l’adoption d’une nouvelle grande charte</w:t>
      </w:r>
      <w:r w:rsidRPr="004F4EB4">
        <w:rPr>
          <w:rFonts w:eastAsia="Times New Roman" w:cs="Times New Roman"/>
        </w:rPr>
        <w:t xml:space="preserve">. </w:t>
      </w:r>
      <w:r w:rsidRPr="004F4EB4">
        <w:rPr>
          <w:rStyle w:val="lev"/>
          <w:rFonts w:eastAsia="Times New Roman" w:cs="Times New Roman"/>
        </w:rPr>
        <w:t xml:space="preserve">» </w:t>
      </w:r>
      <w:r w:rsidRPr="004F4EB4">
        <w:rPr>
          <w:rStyle w:val="lev"/>
          <w:rFonts w:eastAsia="Times New Roman" w:cs="Times New Roman"/>
          <w:b w:val="0"/>
        </w:rPr>
        <w:t>(Estévez, 2013).</w:t>
      </w:r>
    </w:p>
    <w:p w14:paraId="4276189E" w14:textId="77777777" w:rsidR="00A86D03" w:rsidRDefault="00A86D03" w:rsidP="00745FCE">
      <w:pPr>
        <w:rPr>
          <w:rStyle w:val="lev"/>
          <w:b w:val="0"/>
          <w:bCs w:val="0"/>
        </w:rPr>
      </w:pPr>
    </w:p>
    <w:p w14:paraId="479B2AB5" w14:textId="77777777" w:rsidR="00745FCE" w:rsidRPr="00745FCE" w:rsidRDefault="00A86D03" w:rsidP="00745FCE">
      <w:pPr>
        <w:rPr>
          <w:rStyle w:val="lev"/>
          <w:b w:val="0"/>
          <w:bCs w:val="0"/>
        </w:rPr>
      </w:pPr>
      <w:r>
        <w:rPr>
          <w:rStyle w:val="lev"/>
          <w:b w:val="0"/>
          <w:bCs w:val="0"/>
        </w:rPr>
        <w:t>À la suite d’un tel diagnostic</w:t>
      </w:r>
      <w:r w:rsidR="000D4BD4">
        <w:rPr>
          <w:rStyle w:val="lev"/>
          <w:b w:val="0"/>
          <w:bCs w:val="0"/>
        </w:rPr>
        <w:t>, l’enjeu</w:t>
      </w:r>
      <w:r w:rsidR="009B6DEF">
        <w:rPr>
          <w:rStyle w:val="lev"/>
          <w:b w:val="0"/>
          <w:bCs w:val="0"/>
        </w:rPr>
        <w:t xml:space="preserve">, selon </w:t>
      </w:r>
      <w:r w:rsidR="009B6DEF" w:rsidRPr="0032341F">
        <w:rPr>
          <w:rStyle w:val="lev"/>
          <w:b w:val="0"/>
          <w:bCs w:val="0"/>
        </w:rPr>
        <w:t>Esté</w:t>
      </w:r>
      <w:r w:rsidR="00030B11" w:rsidRPr="0032341F">
        <w:rPr>
          <w:rStyle w:val="lev"/>
          <w:b w:val="0"/>
          <w:bCs w:val="0"/>
        </w:rPr>
        <w:t>vez</w:t>
      </w:r>
      <w:r w:rsidR="00030B11">
        <w:rPr>
          <w:rStyle w:val="lev"/>
          <w:b w:val="0"/>
          <w:bCs w:val="0"/>
        </w:rPr>
        <w:t>,</w:t>
      </w:r>
      <w:r w:rsidR="000D4BD4">
        <w:rPr>
          <w:rStyle w:val="lev"/>
          <w:b w:val="0"/>
          <w:bCs w:val="0"/>
        </w:rPr>
        <w:t xml:space="preserve"> </w:t>
      </w:r>
      <w:r w:rsidR="00D019BC">
        <w:rPr>
          <w:rStyle w:val="lev"/>
          <w:b w:val="0"/>
          <w:bCs w:val="0"/>
        </w:rPr>
        <w:t>consiste à</w:t>
      </w:r>
      <w:r w:rsidR="000D4BD4">
        <w:rPr>
          <w:rStyle w:val="lev"/>
          <w:b w:val="0"/>
          <w:bCs w:val="0"/>
        </w:rPr>
        <w:t xml:space="preserve"> trouver une façon </w:t>
      </w:r>
      <w:r w:rsidR="00D019BC">
        <w:rPr>
          <w:rStyle w:val="lev"/>
          <w:b w:val="0"/>
          <w:bCs w:val="0"/>
        </w:rPr>
        <w:t>d’enclencher</w:t>
      </w:r>
      <w:r w:rsidR="000D4BD4">
        <w:rPr>
          <w:rStyle w:val="lev"/>
          <w:b w:val="0"/>
          <w:bCs w:val="0"/>
        </w:rPr>
        <w:t xml:space="preserve"> </w:t>
      </w:r>
      <w:r w:rsidR="00D019BC">
        <w:rPr>
          <w:rStyle w:val="lev"/>
          <w:b w:val="0"/>
          <w:bCs w:val="0"/>
        </w:rPr>
        <w:t>une démarche novatrice et démocratique qui permettra à la fois d</w:t>
      </w:r>
      <w:r w:rsidR="005C6071">
        <w:rPr>
          <w:rStyle w:val="lev"/>
          <w:b w:val="0"/>
          <w:bCs w:val="0"/>
        </w:rPr>
        <w:t>e « déverrouiller » la « s</w:t>
      </w:r>
      <w:r w:rsidR="00D019BC">
        <w:rPr>
          <w:rStyle w:val="lev"/>
          <w:b w:val="0"/>
          <w:bCs w:val="0"/>
        </w:rPr>
        <w:t xml:space="preserve">errure antidémocratique » de la Constitution de Pinochet et de soutenir l’inclusion de la société civile, en coopération avec la participation de la société politique, dans la co-construction démocratique d’une nouvelle constitution. </w:t>
      </w:r>
      <w:r w:rsidR="00D12747">
        <w:rPr>
          <w:rStyle w:val="lev"/>
          <w:b w:val="0"/>
          <w:bCs w:val="0"/>
        </w:rPr>
        <w:t xml:space="preserve">Mais que faire lorsque la constitution qu’on veut remplacer est verrouillée? Pour Estévez, </w:t>
      </w:r>
      <w:r w:rsidR="002D4A2A">
        <w:rPr>
          <w:rStyle w:val="lev"/>
          <w:b w:val="0"/>
          <w:bCs w:val="0"/>
        </w:rPr>
        <w:t>c’est ici qu’il faut penser « à des mécanismes extraordinaires », à des « formules</w:t>
      </w:r>
      <w:r w:rsidR="00D12747">
        <w:rPr>
          <w:rStyle w:val="lev"/>
          <w:b w:val="0"/>
          <w:bCs w:val="0"/>
        </w:rPr>
        <w:t> </w:t>
      </w:r>
      <w:r w:rsidR="00D12747" w:rsidRPr="00CB1CB1">
        <w:rPr>
          <w:rStyle w:val="lev"/>
          <w:b w:val="0"/>
          <w:bCs w:val="0"/>
          <w:i/>
        </w:rPr>
        <w:t>Deus ex machina</w:t>
      </w:r>
      <w:r w:rsidR="00CB1CB1">
        <w:rPr>
          <w:rStyle w:val="lev"/>
          <w:b w:val="0"/>
          <w:bCs w:val="0"/>
        </w:rPr>
        <w:t>,</w:t>
      </w:r>
      <w:r w:rsidR="002D4A2A">
        <w:rPr>
          <w:rStyle w:val="lev"/>
          <w:b w:val="0"/>
          <w:bCs w:val="0"/>
        </w:rPr>
        <w:t xml:space="preserve"> pour le changement institutionnel</w:t>
      </w:r>
      <w:r w:rsidR="00D12747">
        <w:rPr>
          <w:rStyle w:val="lev"/>
          <w:b w:val="0"/>
          <w:bCs w:val="0"/>
        </w:rPr>
        <w:t> »</w:t>
      </w:r>
      <w:r w:rsidR="002D4A2A">
        <w:rPr>
          <w:rStyle w:val="lev"/>
          <w:b w:val="0"/>
          <w:bCs w:val="0"/>
        </w:rPr>
        <w:t xml:space="preserve"> et </w:t>
      </w:r>
      <w:r w:rsidR="005C6071">
        <w:rPr>
          <w:rStyle w:val="lev"/>
          <w:b w:val="0"/>
          <w:bCs w:val="0"/>
        </w:rPr>
        <w:t>reconnaitre</w:t>
      </w:r>
      <w:r w:rsidR="002D4A2A">
        <w:rPr>
          <w:rStyle w:val="lev"/>
          <w:b w:val="0"/>
          <w:bCs w:val="0"/>
        </w:rPr>
        <w:t xml:space="preserve"> « le pouvoir constituant du peuple souverain »</w:t>
      </w:r>
      <w:r w:rsidR="00D12747">
        <w:rPr>
          <w:rStyle w:val="lev"/>
          <w:b w:val="0"/>
          <w:bCs w:val="0"/>
        </w:rPr>
        <w:t xml:space="preserve">. </w:t>
      </w:r>
      <w:r w:rsidR="00C37CEB">
        <w:rPr>
          <w:rStyle w:val="lev"/>
          <w:b w:val="0"/>
          <w:bCs w:val="0"/>
        </w:rPr>
        <w:t xml:space="preserve">La </w:t>
      </w:r>
      <w:r w:rsidR="005D505C">
        <w:rPr>
          <w:rStyle w:val="lev"/>
          <w:b w:val="0"/>
          <w:bCs w:val="0"/>
        </w:rPr>
        <w:t>piste</w:t>
      </w:r>
      <w:r w:rsidR="00C37CEB">
        <w:rPr>
          <w:rStyle w:val="lev"/>
          <w:b w:val="0"/>
          <w:bCs w:val="0"/>
        </w:rPr>
        <w:t xml:space="preserve"> de solution </w:t>
      </w:r>
      <w:r w:rsidR="00030B11">
        <w:rPr>
          <w:rStyle w:val="lev"/>
          <w:b w:val="0"/>
          <w:bCs w:val="0"/>
        </w:rPr>
        <w:t>devra faire</w:t>
      </w:r>
      <w:r w:rsidR="005D505C">
        <w:rPr>
          <w:rStyle w:val="lev"/>
          <w:b w:val="0"/>
          <w:bCs w:val="0"/>
        </w:rPr>
        <w:t xml:space="preserve"> sienne</w:t>
      </w:r>
      <w:r w:rsidR="00C37CEB">
        <w:rPr>
          <w:rStyle w:val="lev"/>
          <w:b w:val="0"/>
          <w:bCs w:val="0"/>
        </w:rPr>
        <w:t xml:space="preserve"> une démarche d’</w:t>
      </w:r>
      <w:r w:rsidR="00D019BC">
        <w:rPr>
          <w:rStyle w:val="lev"/>
          <w:b w:val="0"/>
          <w:bCs w:val="0"/>
        </w:rPr>
        <w:t>assemblée constituante</w:t>
      </w:r>
      <w:r w:rsidR="000E12D3">
        <w:rPr>
          <w:rStyle w:val="lev"/>
          <w:b w:val="0"/>
          <w:bCs w:val="0"/>
        </w:rPr>
        <w:t xml:space="preserve"> ouver</w:t>
      </w:r>
      <w:r w:rsidR="00C37CEB">
        <w:rPr>
          <w:rStyle w:val="lev"/>
          <w:b w:val="0"/>
          <w:bCs w:val="0"/>
        </w:rPr>
        <w:t>te à la participation citoyenne</w:t>
      </w:r>
      <w:r w:rsidR="005D505C">
        <w:rPr>
          <w:rStyle w:val="lev"/>
          <w:b w:val="0"/>
          <w:bCs w:val="0"/>
        </w:rPr>
        <w:t>. Elle s’inspirera</w:t>
      </w:r>
      <w:r w:rsidR="00183251">
        <w:rPr>
          <w:rStyle w:val="lev"/>
          <w:b w:val="0"/>
          <w:bCs w:val="0"/>
        </w:rPr>
        <w:t>, dirions-</w:t>
      </w:r>
      <w:r w:rsidR="00030B11">
        <w:rPr>
          <w:rStyle w:val="lev"/>
          <w:b w:val="0"/>
          <w:bCs w:val="0"/>
        </w:rPr>
        <w:t>nous,</w:t>
      </w:r>
      <w:r w:rsidR="005D505C">
        <w:rPr>
          <w:rStyle w:val="lev"/>
          <w:b w:val="0"/>
          <w:bCs w:val="0"/>
        </w:rPr>
        <w:t xml:space="preserve"> des principes de la</w:t>
      </w:r>
      <w:r w:rsidR="000E12D3">
        <w:rPr>
          <w:rStyle w:val="lev"/>
          <w:b w:val="0"/>
          <w:bCs w:val="0"/>
        </w:rPr>
        <w:t xml:space="preserve"> co-construction démocratique</w:t>
      </w:r>
      <w:r w:rsidR="005D505C">
        <w:rPr>
          <w:rStyle w:val="lev"/>
          <w:b w:val="0"/>
          <w:bCs w:val="0"/>
        </w:rPr>
        <w:t xml:space="preserve"> (Estévez, 2013)</w:t>
      </w:r>
      <w:r w:rsidR="00D019BC">
        <w:rPr>
          <w:rStyle w:val="lev"/>
          <w:b w:val="0"/>
          <w:bCs w:val="0"/>
        </w:rPr>
        <w:t xml:space="preserve">.  </w:t>
      </w:r>
    </w:p>
    <w:p w14:paraId="26C23C45" w14:textId="77777777" w:rsidR="00A86D03" w:rsidRDefault="00A86D03" w:rsidP="004F4EB4"/>
    <w:p w14:paraId="048EE6BB" w14:textId="77777777" w:rsidR="005C6071" w:rsidRDefault="005C6071" w:rsidP="004F4EB4">
      <w:r>
        <w:t xml:space="preserve">Quant à </w:t>
      </w:r>
      <w:r w:rsidR="00DD43B4">
        <w:t>Manuel Antonio</w:t>
      </w:r>
      <w:r w:rsidR="00CA21C3">
        <w:t xml:space="preserve"> Garreton</w:t>
      </w:r>
      <w:r w:rsidR="002F74AD">
        <w:t xml:space="preserve">, </w:t>
      </w:r>
      <w:r w:rsidR="00183251">
        <w:t xml:space="preserve">le </w:t>
      </w:r>
      <w:r>
        <w:t xml:space="preserve">sociologue chilien </w:t>
      </w:r>
      <w:r w:rsidR="00FA5D37">
        <w:t xml:space="preserve">que nous avons </w:t>
      </w:r>
      <w:r w:rsidR="00B165B9">
        <w:t xml:space="preserve">mis à contribution </w:t>
      </w:r>
      <w:r w:rsidR="00FA5D37">
        <w:t>plus haut</w:t>
      </w:r>
      <w:r w:rsidR="002F74AD">
        <w:t xml:space="preserve">, </w:t>
      </w:r>
      <w:r>
        <w:t xml:space="preserve">il </w:t>
      </w:r>
      <w:r w:rsidR="002F74AD">
        <w:t xml:space="preserve">est souvent </w:t>
      </w:r>
      <w:r w:rsidR="00FA5D37">
        <w:t xml:space="preserve">revenu </w:t>
      </w:r>
      <w:r w:rsidR="002F74AD">
        <w:t>à la charge</w:t>
      </w:r>
      <w:r w:rsidR="00B165B9">
        <w:t xml:space="preserve"> ces dernières années</w:t>
      </w:r>
      <w:r w:rsidR="002F74AD">
        <w:t xml:space="preserve"> pour promouvo</w:t>
      </w:r>
      <w:r w:rsidR="00FA5D37">
        <w:t>ir la nécessité d’une nouvelle c</w:t>
      </w:r>
      <w:r w:rsidR="002F74AD">
        <w:t xml:space="preserve">onstitution et d’une démarche novatrice d’assemblée constituante </w:t>
      </w:r>
      <w:r>
        <w:t>ouverte</w:t>
      </w:r>
      <w:r w:rsidR="002F74AD">
        <w:t xml:space="preserve"> à la participation de la société civile. </w:t>
      </w:r>
      <w:r w:rsidR="00255538">
        <w:t xml:space="preserve">À cet effet, il </w:t>
      </w:r>
      <w:r>
        <w:t xml:space="preserve">voit la nécessité et </w:t>
      </w:r>
      <w:r>
        <w:lastRenderedPageBreak/>
        <w:t>l’opportunité</w:t>
      </w:r>
      <w:r w:rsidR="00FA5D37">
        <w:t xml:space="preserve"> </w:t>
      </w:r>
      <w:r>
        <w:t>de recourir</w:t>
      </w:r>
      <w:r w:rsidR="00FA5D37">
        <w:t xml:space="preserve"> à nouveau</w:t>
      </w:r>
      <w:r w:rsidR="00255538">
        <w:t xml:space="preserve"> </w:t>
      </w:r>
      <w:r>
        <w:t>à</w:t>
      </w:r>
      <w:r w:rsidR="00255538">
        <w:t xml:space="preserve"> un plébiscite</w:t>
      </w:r>
      <w:r w:rsidR="00FA5D37">
        <w:t>, lequel se situerait toutefois dans un contexte po</w:t>
      </w:r>
      <w:r>
        <w:t xml:space="preserve">litique </w:t>
      </w:r>
      <w:r w:rsidR="00183251">
        <w:t>distinct de celui</w:t>
      </w:r>
      <w:r>
        <w:t xml:space="preserve"> dans lequel</w:t>
      </w:r>
      <w:r w:rsidR="00FA5D37">
        <w:t xml:space="preserve"> ont été vécus</w:t>
      </w:r>
      <w:r>
        <w:t xml:space="preserve"> deux autres plébiscites</w:t>
      </w:r>
      <w:r w:rsidR="00FA5D37">
        <w:t xml:space="preserve"> sous la dictature</w:t>
      </w:r>
      <w:r>
        <w:t>, l’un</w:t>
      </w:r>
      <w:r w:rsidR="00FA5D37">
        <w:t xml:space="preserve"> en 1980 et</w:t>
      </w:r>
      <w:r>
        <w:t xml:space="preserve"> l’autre</w:t>
      </w:r>
      <w:r w:rsidR="00FA5D37">
        <w:t xml:space="preserve"> en 1988</w:t>
      </w:r>
      <w:r w:rsidR="00255538">
        <w:t xml:space="preserve"> (</w:t>
      </w:r>
      <w:r w:rsidR="00FA5D37">
        <w:t xml:space="preserve">Garreton, </w:t>
      </w:r>
      <w:r w:rsidR="00255538">
        <w:t>2013a,</w:t>
      </w:r>
      <w:r w:rsidR="00495D60">
        <w:t xml:space="preserve"> 2013b, 2013c, 2014a </w:t>
      </w:r>
      <w:r w:rsidR="00255538">
        <w:t>et 2014</w:t>
      </w:r>
      <w:r w:rsidR="0080559D">
        <w:t>b</w:t>
      </w:r>
      <w:r w:rsidR="00255538">
        <w:t xml:space="preserve">). </w:t>
      </w:r>
      <w:r w:rsidR="002F74AD">
        <w:t>Son propos</w:t>
      </w:r>
      <w:r w:rsidR="005B1CFC">
        <w:t xml:space="preserve"> sur le processus constitutionnel</w:t>
      </w:r>
      <w:r w:rsidR="002F74AD">
        <w:t xml:space="preserve"> rejoint</w:t>
      </w:r>
      <w:r w:rsidR="00255538">
        <w:t xml:space="preserve"> et complète </w:t>
      </w:r>
      <w:r w:rsidR="002F74AD">
        <w:t xml:space="preserve">celui d’Estévez. </w:t>
      </w:r>
      <w:r w:rsidR="00CB1CB1">
        <w:t>Citons-le</w:t>
      </w:r>
      <w:r w:rsidR="00183251">
        <w:t xml:space="preserve"> amplement</w:t>
      </w:r>
      <w:r w:rsidR="002F74AD">
        <w:t>:</w:t>
      </w:r>
    </w:p>
    <w:p w14:paraId="7936483B" w14:textId="77777777" w:rsidR="00E10F37" w:rsidRDefault="00CA21C3" w:rsidP="002F74AD">
      <w:pPr>
        <w:ind w:left="708"/>
        <w:rPr>
          <w:lang w:val="fr-FR"/>
        </w:rPr>
      </w:pPr>
      <w:r>
        <w:t>« </w:t>
      </w:r>
      <w:r w:rsidR="005B1CFC">
        <w:t xml:space="preserve"> </w:t>
      </w:r>
      <w:r w:rsidR="00E23DBD">
        <w:rPr>
          <w:color w:val="000000"/>
          <w:lang w:val="fr-FR"/>
        </w:rPr>
        <w:t>Bien plus que l’idée de la nécessité d’une nouvelle Constitution</w:t>
      </w:r>
      <w:r w:rsidRPr="004F4EB4">
        <w:rPr>
          <w:color w:val="000000"/>
          <w:lang w:val="fr-FR"/>
        </w:rPr>
        <w:t xml:space="preserve"> </w:t>
      </w:r>
      <w:r w:rsidR="00E23DBD">
        <w:rPr>
          <w:color w:val="000000"/>
          <w:lang w:val="fr-FR"/>
        </w:rPr>
        <w:t>qui semble faire consensus, sauf pour des minorités récalcitrantes ou pour des gens qui n’ont pas confiance dans la politique</w:t>
      </w:r>
      <w:r w:rsidRPr="004F4EB4">
        <w:rPr>
          <w:color w:val="000000"/>
          <w:lang w:val="fr-FR"/>
        </w:rPr>
        <w:t xml:space="preserve">, </w:t>
      </w:r>
      <w:r w:rsidR="00E23DBD">
        <w:rPr>
          <w:color w:val="000000"/>
          <w:lang w:val="fr-FR"/>
        </w:rPr>
        <w:t>il faut insister sur le fait</w:t>
      </w:r>
      <w:r w:rsidR="00183251">
        <w:rPr>
          <w:color w:val="000000"/>
          <w:lang w:val="fr-FR"/>
        </w:rPr>
        <w:t xml:space="preserve"> que</w:t>
      </w:r>
      <w:r w:rsidR="00E23DBD">
        <w:rPr>
          <w:color w:val="000000"/>
          <w:lang w:val="fr-FR"/>
        </w:rPr>
        <w:t xml:space="preserve"> celle-ci est la colonne vertébrale de tous les changements. Il en est ainsi non seulement pour les contenus qui doivent être instaurés, mais aussi </w:t>
      </w:r>
      <w:r w:rsidR="00F01553">
        <w:rPr>
          <w:color w:val="000000"/>
          <w:lang w:val="fr-FR"/>
        </w:rPr>
        <w:t>parce que</w:t>
      </w:r>
      <w:r w:rsidR="00836CC7">
        <w:rPr>
          <w:color w:val="000000"/>
          <w:lang w:val="fr-FR"/>
        </w:rPr>
        <w:t xml:space="preserve"> le processus qui conduit à la C</w:t>
      </w:r>
      <w:r w:rsidR="00F01553">
        <w:rPr>
          <w:color w:val="000000"/>
          <w:lang w:val="fr-FR"/>
        </w:rPr>
        <w:t>onst</w:t>
      </w:r>
      <w:r w:rsidR="00495D60">
        <w:rPr>
          <w:color w:val="000000"/>
          <w:lang w:val="fr-FR"/>
        </w:rPr>
        <w:t>itution est le seul qui garantit</w:t>
      </w:r>
      <w:r w:rsidR="00F01553">
        <w:rPr>
          <w:color w:val="000000"/>
          <w:lang w:val="fr-FR"/>
        </w:rPr>
        <w:t xml:space="preserve"> la reconstruction de la communauté politique et l’identification de la citoyenneté avec l’ordre politique institutionnel. Et en ce sens, il n’y a pas d’autre manière pour arriver à une nouvelle Constitution légitime que de recourir à une Assemblée Constituante. </w:t>
      </w:r>
      <w:r w:rsidR="00F01553">
        <w:rPr>
          <w:i/>
          <w:color w:val="000000"/>
          <w:lang w:val="fr-FR"/>
        </w:rPr>
        <w:t>En même temps, c’est la formule unique qui peut générer un espace de rencontre entre le monde social et le monde politique, entre l’institutionnel et le participatif</w:t>
      </w:r>
      <w:r w:rsidRPr="004F4EB4">
        <w:rPr>
          <w:i/>
          <w:color w:val="000000"/>
          <w:lang w:val="fr-FR"/>
        </w:rPr>
        <w:t xml:space="preserve">, </w:t>
      </w:r>
      <w:r w:rsidR="00F01553">
        <w:rPr>
          <w:i/>
          <w:color w:val="000000"/>
          <w:lang w:val="fr-FR"/>
        </w:rPr>
        <w:t xml:space="preserve">en permettant la réarticulation de leurs relations et le respect de leurs autonomies </w:t>
      </w:r>
      <w:r w:rsidRPr="004F4EB4">
        <w:rPr>
          <w:lang w:val="fr-FR"/>
        </w:rPr>
        <w:t>»</w:t>
      </w:r>
      <w:r w:rsidR="002F74AD">
        <w:rPr>
          <w:lang w:val="fr-FR"/>
        </w:rPr>
        <w:t xml:space="preserve"> (Garreton, 2014</w:t>
      </w:r>
      <w:r w:rsidR="0080559D">
        <w:rPr>
          <w:lang w:val="fr-FR"/>
        </w:rPr>
        <w:t>b</w:t>
      </w:r>
      <w:r w:rsidR="002F74AD">
        <w:rPr>
          <w:lang w:val="fr-FR"/>
        </w:rPr>
        <w:t>)</w:t>
      </w:r>
      <w:r w:rsidR="0059555F" w:rsidRPr="004F4EB4">
        <w:rPr>
          <w:lang w:val="fr-FR"/>
        </w:rPr>
        <w:t xml:space="preserve">. </w:t>
      </w:r>
    </w:p>
    <w:p w14:paraId="327DF765" w14:textId="77777777" w:rsidR="00E10F37" w:rsidRDefault="00E10F37" w:rsidP="004F4EB4">
      <w:pPr>
        <w:rPr>
          <w:lang w:val="fr-FR"/>
        </w:rPr>
      </w:pPr>
    </w:p>
    <w:p w14:paraId="2588B030" w14:textId="77777777" w:rsidR="004210A1" w:rsidRDefault="00807073" w:rsidP="004F4EB4">
      <w:pPr>
        <w:rPr>
          <w:lang w:val="fr-FR"/>
        </w:rPr>
      </w:pPr>
      <w:r>
        <w:rPr>
          <w:lang w:val="fr-FR"/>
        </w:rPr>
        <w:t>Ainsi, e</w:t>
      </w:r>
      <w:r w:rsidR="001C03CB">
        <w:rPr>
          <w:lang w:val="fr-FR"/>
        </w:rPr>
        <w:t>n</w:t>
      </w:r>
      <w:r w:rsidR="00727E61">
        <w:rPr>
          <w:lang w:val="fr-FR"/>
        </w:rPr>
        <w:t xml:space="preserve"> plus de miser sur l’A</w:t>
      </w:r>
      <w:r w:rsidR="00183251">
        <w:rPr>
          <w:lang w:val="fr-FR"/>
        </w:rPr>
        <w:t>ssemblée C</w:t>
      </w:r>
      <w:r w:rsidR="00A746A5" w:rsidRPr="004F4EB4">
        <w:rPr>
          <w:lang w:val="fr-FR"/>
        </w:rPr>
        <w:t xml:space="preserve">onstituante, </w:t>
      </w:r>
      <w:r w:rsidR="00E10F37">
        <w:rPr>
          <w:lang w:val="fr-FR"/>
        </w:rPr>
        <w:t>Garreton</w:t>
      </w:r>
      <w:r w:rsidR="00A746A5" w:rsidRPr="004F4EB4">
        <w:rPr>
          <w:lang w:val="fr-FR"/>
        </w:rPr>
        <w:t xml:space="preserve"> propose de </w:t>
      </w:r>
      <w:r w:rsidR="00CB1CB1">
        <w:rPr>
          <w:lang w:val="fr-FR"/>
        </w:rPr>
        <w:t>recourir à</w:t>
      </w:r>
      <w:r w:rsidR="00A746A5" w:rsidRPr="004F4EB4">
        <w:rPr>
          <w:lang w:val="fr-FR"/>
        </w:rPr>
        <w:t xml:space="preserve"> un plébiscite, ce qui dans l</w:t>
      </w:r>
      <w:r w:rsidR="00F01553">
        <w:rPr>
          <w:lang w:val="fr-FR"/>
        </w:rPr>
        <w:t>’imaginaire chilien aurait beaucoup de</w:t>
      </w:r>
      <w:r w:rsidR="00A746A5" w:rsidRPr="004F4EB4">
        <w:rPr>
          <w:lang w:val="fr-FR"/>
        </w:rPr>
        <w:t xml:space="preserve"> signification. </w:t>
      </w:r>
      <w:r w:rsidR="00E10F37">
        <w:rPr>
          <w:lang w:val="fr-FR"/>
        </w:rPr>
        <w:t>En effet</w:t>
      </w:r>
      <w:r w:rsidR="00A746A5" w:rsidRPr="004F4EB4">
        <w:rPr>
          <w:lang w:val="fr-FR"/>
        </w:rPr>
        <w:t xml:space="preserve">, </w:t>
      </w:r>
      <w:r w:rsidR="00E10F37">
        <w:rPr>
          <w:lang w:val="fr-FR"/>
        </w:rPr>
        <w:t xml:space="preserve">comme </w:t>
      </w:r>
      <w:r w:rsidR="00A746A5" w:rsidRPr="004F4EB4">
        <w:rPr>
          <w:lang w:val="fr-FR"/>
        </w:rPr>
        <w:t>le plébiscite a été utilisé</w:t>
      </w:r>
      <w:r w:rsidR="00E10F37">
        <w:rPr>
          <w:lang w:val="fr-FR"/>
        </w:rPr>
        <w:t xml:space="preserve"> en 19</w:t>
      </w:r>
      <w:r w:rsidR="009A0150">
        <w:rPr>
          <w:lang w:val="fr-FR"/>
        </w:rPr>
        <w:t>88</w:t>
      </w:r>
      <w:r w:rsidR="00A746A5" w:rsidRPr="004F4EB4">
        <w:rPr>
          <w:lang w:val="fr-FR"/>
        </w:rPr>
        <w:t xml:space="preserve"> pour </w:t>
      </w:r>
      <w:r w:rsidR="002F60DF">
        <w:rPr>
          <w:lang w:val="fr-FR"/>
        </w:rPr>
        <w:t>amorcer la transition</w:t>
      </w:r>
      <w:r w:rsidR="00A746A5" w:rsidRPr="004F4EB4">
        <w:rPr>
          <w:lang w:val="fr-FR"/>
        </w:rPr>
        <w:t xml:space="preserve"> de la dic</w:t>
      </w:r>
      <w:r w:rsidR="00E10F37">
        <w:rPr>
          <w:lang w:val="fr-FR"/>
        </w:rPr>
        <w:t>tatur</w:t>
      </w:r>
      <w:r w:rsidR="00183251">
        <w:rPr>
          <w:lang w:val="fr-FR"/>
        </w:rPr>
        <w:t xml:space="preserve">e à la démocratie, </w:t>
      </w:r>
      <w:r w:rsidR="00E10F37">
        <w:rPr>
          <w:lang w:val="fr-FR"/>
        </w:rPr>
        <w:t>ne pourrait</w:t>
      </w:r>
      <w:r w:rsidR="00183251">
        <w:rPr>
          <w:lang w:val="fr-FR"/>
        </w:rPr>
        <w:t>-il</w:t>
      </w:r>
      <w:r w:rsidR="00E10F37">
        <w:rPr>
          <w:lang w:val="fr-FR"/>
        </w:rPr>
        <w:t xml:space="preserve"> pas, 2</w:t>
      </w:r>
      <w:r w:rsidR="009A0150">
        <w:rPr>
          <w:lang w:val="fr-FR"/>
        </w:rPr>
        <w:t>5</w:t>
      </w:r>
      <w:r w:rsidR="00E10F37">
        <w:rPr>
          <w:lang w:val="fr-FR"/>
        </w:rPr>
        <w:t xml:space="preserve"> ans plus tard, </w:t>
      </w:r>
      <w:r w:rsidR="00A746A5" w:rsidRPr="004F4EB4">
        <w:rPr>
          <w:lang w:val="fr-FR"/>
        </w:rPr>
        <w:t xml:space="preserve">être </w:t>
      </w:r>
      <w:r w:rsidR="002F60DF" w:rsidRPr="004F4EB4">
        <w:rPr>
          <w:lang w:val="fr-FR"/>
        </w:rPr>
        <w:t xml:space="preserve">utilisé </w:t>
      </w:r>
      <w:r w:rsidR="00E10F37" w:rsidRPr="004F4EB4">
        <w:rPr>
          <w:lang w:val="fr-FR"/>
        </w:rPr>
        <w:t xml:space="preserve">à nouveau </w:t>
      </w:r>
      <w:r w:rsidR="00A746A5" w:rsidRPr="004F4EB4">
        <w:rPr>
          <w:lang w:val="fr-FR"/>
        </w:rPr>
        <w:t>pour rompre a</w:t>
      </w:r>
      <w:r w:rsidR="002F60DF">
        <w:rPr>
          <w:lang w:val="fr-FR"/>
        </w:rPr>
        <w:t>vec l’héritage de la dictature, c’est-à-dire c</w:t>
      </w:r>
      <w:r w:rsidR="00E10F37">
        <w:rPr>
          <w:lang w:val="fr-FR"/>
        </w:rPr>
        <w:t xml:space="preserve">e modèle de développement économique néolibéral </w:t>
      </w:r>
      <w:r w:rsidR="00A746A5" w:rsidRPr="004F4EB4">
        <w:rPr>
          <w:lang w:val="fr-FR"/>
        </w:rPr>
        <w:t>cadenassé</w:t>
      </w:r>
      <w:r w:rsidR="00F01553">
        <w:rPr>
          <w:lang w:val="fr-FR"/>
        </w:rPr>
        <w:t xml:space="preserve"> dans la Constitution de 1980</w:t>
      </w:r>
      <w:r w:rsidR="001E3B13">
        <w:rPr>
          <w:lang w:val="fr-FR"/>
        </w:rPr>
        <w:t xml:space="preserve"> et supposément légi</w:t>
      </w:r>
      <w:r w:rsidR="00727E61">
        <w:rPr>
          <w:lang w:val="fr-FR"/>
        </w:rPr>
        <w:t xml:space="preserve">timé </w:t>
      </w:r>
      <w:r w:rsidR="001E3B13">
        <w:rPr>
          <w:lang w:val="fr-FR"/>
        </w:rPr>
        <w:t>par</w:t>
      </w:r>
      <w:r w:rsidR="00727E61">
        <w:rPr>
          <w:lang w:val="fr-FR"/>
        </w:rPr>
        <w:t xml:space="preserve"> le plébiscite tronqué de 1980</w:t>
      </w:r>
      <w:r w:rsidR="00E10F37">
        <w:rPr>
          <w:lang w:val="fr-FR"/>
        </w:rPr>
        <w:t> ?</w:t>
      </w:r>
      <w:r w:rsidR="002F60DF">
        <w:rPr>
          <w:lang w:val="fr-FR"/>
        </w:rPr>
        <w:t xml:space="preserve"> </w:t>
      </w:r>
      <w:r w:rsidR="00F57665">
        <w:rPr>
          <w:lang w:val="fr-FR"/>
        </w:rPr>
        <w:t xml:space="preserve">En somme, </w:t>
      </w:r>
      <w:r w:rsidR="00AB38BF" w:rsidRPr="00F57665">
        <w:rPr>
          <w:lang w:val="fr-FR"/>
        </w:rPr>
        <w:t>« La nouvelle constitution devient l’axe vertébral de tous les changements »</w:t>
      </w:r>
      <w:r w:rsidR="00F57665">
        <w:rPr>
          <w:lang w:val="fr-FR"/>
        </w:rPr>
        <w:t xml:space="preserve"> (Garreton, 2014b</w:t>
      </w:r>
      <w:r w:rsidR="00595021" w:rsidRPr="00F57665">
        <w:rPr>
          <w:lang w:val="fr-FR"/>
        </w:rPr>
        <w:t> ;</w:t>
      </w:r>
      <w:r w:rsidR="00595021">
        <w:rPr>
          <w:lang w:val="fr-FR"/>
        </w:rPr>
        <w:t xml:space="preserve"> </w:t>
      </w:r>
      <w:r w:rsidR="00595021">
        <w:t>El Desconcierto, 2013</w:t>
      </w:r>
      <w:r w:rsidR="00A746A5" w:rsidRPr="004F4EB4">
        <w:rPr>
          <w:lang w:val="fr-FR"/>
        </w:rPr>
        <w:t xml:space="preserve">). </w:t>
      </w:r>
    </w:p>
    <w:p w14:paraId="07DBFAC1" w14:textId="77777777" w:rsidR="004210A1" w:rsidRDefault="004210A1" w:rsidP="004F4EB4">
      <w:pPr>
        <w:rPr>
          <w:lang w:val="fr-FR"/>
        </w:rPr>
      </w:pPr>
    </w:p>
    <w:p w14:paraId="1D2F855F" w14:textId="77777777" w:rsidR="00AB3BC1" w:rsidRDefault="00F57665" w:rsidP="004F4EB4">
      <w:pPr>
        <w:rPr>
          <w:lang w:val="fr-FR"/>
        </w:rPr>
      </w:pPr>
      <w:r>
        <w:rPr>
          <w:lang w:val="fr-FR"/>
        </w:rPr>
        <w:t xml:space="preserve">L’aspect le plus intéressant dans la conjoncture actuelle, ce n’est pas que </w:t>
      </w:r>
      <w:r w:rsidR="008B25EC">
        <w:rPr>
          <w:lang w:val="fr-FR"/>
        </w:rPr>
        <w:t>quelques intellectuels tels Esté</w:t>
      </w:r>
      <w:r>
        <w:rPr>
          <w:lang w:val="fr-FR"/>
        </w:rPr>
        <w:t>vez et Garreton tiennent un beau discours sur la nouvel</w:t>
      </w:r>
      <w:r w:rsidR="00DD2021">
        <w:rPr>
          <w:lang w:val="fr-FR"/>
        </w:rPr>
        <w:t>le Constitution et l’Assemblée C</w:t>
      </w:r>
      <w:r>
        <w:rPr>
          <w:lang w:val="fr-FR"/>
        </w:rPr>
        <w:t>onstituante. C’est qu’ils manifestent ainsi l’aspiration de tout un peuple</w:t>
      </w:r>
      <w:r w:rsidR="004210A1">
        <w:rPr>
          <w:lang w:val="fr-FR"/>
        </w:rPr>
        <w:t xml:space="preserve">, </w:t>
      </w:r>
      <w:r>
        <w:rPr>
          <w:lang w:val="fr-FR"/>
        </w:rPr>
        <w:t>puisqu’</w:t>
      </w:r>
      <w:r w:rsidR="004210A1">
        <w:rPr>
          <w:lang w:val="fr-FR"/>
        </w:rPr>
        <w:t>une ne</w:t>
      </w:r>
      <w:r w:rsidR="0088728D">
        <w:rPr>
          <w:lang w:val="fr-FR"/>
        </w:rPr>
        <w:t xml:space="preserve">tte majorité de </w:t>
      </w:r>
      <w:r w:rsidR="0088728D" w:rsidRPr="003E0340">
        <w:rPr>
          <w:lang w:val="fr-FR"/>
        </w:rPr>
        <w:t>Chiliens</w:t>
      </w:r>
      <w:r w:rsidRPr="003E0340">
        <w:rPr>
          <w:lang w:val="fr-FR"/>
        </w:rPr>
        <w:t xml:space="preserve"> veut</w:t>
      </w:r>
      <w:r w:rsidR="00DD2021" w:rsidRPr="003E0340">
        <w:rPr>
          <w:lang w:val="fr-FR"/>
        </w:rPr>
        <w:t xml:space="preserve"> </w:t>
      </w:r>
      <w:r w:rsidR="0088728D" w:rsidRPr="003E0340">
        <w:rPr>
          <w:lang w:val="fr-FR"/>
        </w:rPr>
        <w:t xml:space="preserve">présentement </w:t>
      </w:r>
      <w:r w:rsidR="00DD2021" w:rsidRPr="003E0340">
        <w:rPr>
          <w:lang w:val="fr-FR"/>
        </w:rPr>
        <w:t>une</w:t>
      </w:r>
      <w:r w:rsidR="00DD2021">
        <w:rPr>
          <w:lang w:val="fr-FR"/>
        </w:rPr>
        <w:t xml:space="preserve"> nouvelle Constitution et une Assemblée </w:t>
      </w:r>
      <w:r w:rsidR="0088728D" w:rsidRPr="003E0340">
        <w:rPr>
          <w:lang w:val="fr-FR"/>
        </w:rPr>
        <w:t>c</w:t>
      </w:r>
      <w:r w:rsidR="004210A1" w:rsidRPr="003E0340">
        <w:rPr>
          <w:lang w:val="fr-FR"/>
        </w:rPr>
        <w:t>onstituante</w:t>
      </w:r>
      <w:r w:rsidR="004210A1" w:rsidRPr="00041832">
        <w:rPr>
          <w:lang w:val="fr-FR"/>
        </w:rPr>
        <w:t>.</w:t>
      </w:r>
      <w:r w:rsidR="004210A1">
        <w:rPr>
          <w:lang w:val="fr-FR"/>
        </w:rPr>
        <w:t xml:space="preserve"> </w:t>
      </w:r>
      <w:r w:rsidR="004A5E1F" w:rsidRPr="00041832">
        <w:rPr>
          <w:lang w:val="fr-FR"/>
        </w:rPr>
        <w:t>Une</w:t>
      </w:r>
      <w:r w:rsidR="004A5E1F">
        <w:rPr>
          <w:lang w:val="fr-FR"/>
        </w:rPr>
        <w:t xml:space="preserve"> enquête menée en juin 2013 a révélé que 81% des Chiliens voulaient </w:t>
      </w:r>
      <w:r w:rsidR="00DD2021">
        <w:rPr>
          <w:lang w:val="fr-FR"/>
        </w:rPr>
        <w:t>une nouvelle C</w:t>
      </w:r>
      <w:r w:rsidR="004A5E1F">
        <w:rPr>
          <w:lang w:val="fr-FR"/>
        </w:rPr>
        <w:t>onstitution et que</w:t>
      </w:r>
      <w:r w:rsidR="00DD2021">
        <w:rPr>
          <w:lang w:val="fr-FR"/>
        </w:rPr>
        <w:t xml:space="preserve"> 64% d’entre eux voulaient une Assemblée C</w:t>
      </w:r>
      <w:r w:rsidR="004A5E1F">
        <w:rPr>
          <w:lang w:val="fr-FR"/>
        </w:rPr>
        <w:t xml:space="preserve">onstituante (El Desconcierto, 2013 :91-92). </w:t>
      </w:r>
      <w:r w:rsidR="00066421">
        <w:rPr>
          <w:lang w:val="fr-FR"/>
        </w:rPr>
        <w:t>Le Chili est entré dans « un nouveau cycle historique »</w:t>
      </w:r>
      <w:r w:rsidR="00063A66">
        <w:rPr>
          <w:lang w:val="fr-FR"/>
        </w:rPr>
        <w:t xml:space="preserve"> ouvert par les mobilisations sociopolitiques des années 2011 et 2012</w:t>
      </w:r>
      <w:r w:rsidR="00066421">
        <w:rPr>
          <w:lang w:val="fr-FR"/>
        </w:rPr>
        <w:t xml:space="preserve">. </w:t>
      </w:r>
      <w:r w:rsidR="0015595B">
        <w:rPr>
          <w:lang w:val="fr-FR"/>
        </w:rPr>
        <w:t>Il reste au gouv</w:t>
      </w:r>
      <w:r w:rsidR="00234356">
        <w:rPr>
          <w:lang w:val="fr-FR"/>
        </w:rPr>
        <w:t>ernement de Michelle Bachelet à trouver la manière de</w:t>
      </w:r>
      <w:r w:rsidR="0015595B">
        <w:rPr>
          <w:lang w:val="fr-FR"/>
        </w:rPr>
        <w:t xml:space="preserve"> s’emparer </w:t>
      </w:r>
      <w:r w:rsidR="000D1D40">
        <w:rPr>
          <w:lang w:val="fr-FR"/>
        </w:rPr>
        <w:t>politiquement de la fenêtre d’opportunité ouverte par ce nouveau cycle</w:t>
      </w:r>
      <w:r w:rsidR="00234356">
        <w:rPr>
          <w:lang w:val="fr-FR"/>
        </w:rPr>
        <w:t xml:space="preserve"> afin de construire une nouvelle relation entre le politique et le social</w:t>
      </w:r>
      <w:r w:rsidR="000D1D40">
        <w:rPr>
          <w:lang w:val="fr-FR"/>
        </w:rPr>
        <w:t>.</w:t>
      </w:r>
      <w:r w:rsidR="00AB3BC1">
        <w:rPr>
          <w:lang w:val="fr-FR"/>
        </w:rPr>
        <w:t xml:space="preserve"> Il semble bien que la Présidente</w:t>
      </w:r>
      <w:r w:rsidR="00DD2021">
        <w:rPr>
          <w:lang w:val="fr-FR"/>
        </w:rPr>
        <w:t xml:space="preserve"> soit déterminée à favoriser des démarches de co-construction démocratique des politiques publiques comme en témoigne un décret présidentiel adopté le 7 août 2014. Qu’il nous suffise ici de citer l’article 3 de ce décret :</w:t>
      </w:r>
      <w:r w:rsidR="00420B41">
        <w:rPr>
          <w:lang w:val="fr-FR"/>
        </w:rPr>
        <w:t xml:space="preserve"> </w:t>
      </w:r>
    </w:p>
    <w:p w14:paraId="431C5D63" w14:textId="77777777" w:rsidR="00AB3BC1" w:rsidRDefault="00AB3BC1" w:rsidP="00AB3BC1">
      <w:pPr>
        <w:ind w:left="708"/>
        <w:rPr>
          <w:lang w:val="fr-FR"/>
        </w:rPr>
      </w:pPr>
    </w:p>
    <w:p w14:paraId="32376A92" w14:textId="77777777" w:rsidR="004A5E1F" w:rsidRDefault="00420B41" w:rsidP="00AB3BC1">
      <w:pPr>
        <w:ind w:left="708"/>
        <w:rPr>
          <w:lang w:val="fr-FR"/>
        </w:rPr>
      </w:pPr>
      <w:r>
        <w:rPr>
          <w:lang w:val="fr-FR"/>
        </w:rPr>
        <w:t xml:space="preserve">« Notre Gouvernement voit la participation citoyenne comme un processus de coopération à partir duquel l’État et la citoyenneté identifient et délibèrent ensemble au sujet de problèmes publics et de leurs solutions, avec des méthodologies et des outils qui encouragent la création d’espaces de réflexion et de dialogue collectifs, ce </w:t>
      </w:r>
      <w:r>
        <w:rPr>
          <w:lang w:val="fr-FR"/>
        </w:rPr>
        <w:lastRenderedPageBreak/>
        <w:t xml:space="preserve">qui nous entraîne dans des démarches d’incorporation active de la citoyenneté dans </w:t>
      </w:r>
      <w:r w:rsidR="004125B5">
        <w:rPr>
          <w:lang w:val="fr-FR"/>
        </w:rPr>
        <w:t>la définition et l’élaboration des décisions publiques. » (Bachelet, 2014).</w:t>
      </w:r>
    </w:p>
    <w:p w14:paraId="13002115" w14:textId="77777777" w:rsidR="00A26D49" w:rsidRDefault="00A26D49" w:rsidP="004F4EB4">
      <w:pPr>
        <w:rPr>
          <w:lang w:val="fr-FR"/>
        </w:rPr>
      </w:pPr>
    </w:p>
    <w:p w14:paraId="0701E565" w14:textId="77777777" w:rsidR="004125B5" w:rsidRDefault="004125B5" w:rsidP="004F4EB4">
      <w:pPr>
        <w:rPr>
          <w:lang w:val="fr-FR"/>
        </w:rPr>
      </w:pPr>
    </w:p>
    <w:p w14:paraId="6ECA0118" w14:textId="77777777" w:rsidR="00A505DA" w:rsidRDefault="00A505DA">
      <w:pPr>
        <w:rPr>
          <w:b/>
        </w:rPr>
      </w:pPr>
      <w:r>
        <w:rPr>
          <w:b/>
        </w:rPr>
        <w:br w:type="page"/>
      </w:r>
    </w:p>
    <w:p w14:paraId="5698F8C4" w14:textId="77777777" w:rsidR="00A505DA" w:rsidRDefault="00A505DA" w:rsidP="00BC07DB">
      <w:pPr>
        <w:rPr>
          <w:b/>
        </w:rPr>
      </w:pPr>
    </w:p>
    <w:p w14:paraId="458C6B91" w14:textId="77777777" w:rsidR="00530CF4" w:rsidRPr="00620D65" w:rsidRDefault="00DB5F9B" w:rsidP="00620D65">
      <w:pPr>
        <w:pStyle w:val="Titre1"/>
        <w:rPr>
          <w:color w:val="auto"/>
        </w:rPr>
      </w:pPr>
      <w:bookmarkStart w:id="21" w:name="_Toc405129037"/>
      <w:r w:rsidRPr="00620D65">
        <w:rPr>
          <w:color w:val="auto"/>
        </w:rPr>
        <w:t>CONCLUSION</w:t>
      </w:r>
      <w:bookmarkEnd w:id="21"/>
    </w:p>
    <w:p w14:paraId="370776E3" w14:textId="77777777" w:rsidR="00AF17C1" w:rsidRDefault="00E52968" w:rsidP="00290298">
      <w:r>
        <w:t xml:space="preserve">Dans le texte qui précède, nous avons commencé, dans une première </w:t>
      </w:r>
      <w:r w:rsidR="00F47564">
        <w:t>section</w:t>
      </w:r>
      <w:r>
        <w:t xml:space="preserve"> théorique, par synthétiser sommairement les acquis de nos écrits antérieurs sur la participation</w:t>
      </w:r>
      <w:r w:rsidR="00594852">
        <w:t xml:space="preserve"> de l’ESS à la co-construction </w:t>
      </w:r>
      <w:r w:rsidR="00594852">
        <w:rPr>
          <w:rFonts w:ascii="Cambria" w:hAnsi="Cambria"/>
        </w:rPr>
        <w:t>—</w:t>
      </w:r>
      <w:r>
        <w:t>c’est-à-dire à la définition</w:t>
      </w:r>
      <w:r w:rsidR="00594852">
        <w:rPr>
          <w:rFonts w:ascii="Cambria" w:hAnsi="Cambria"/>
        </w:rPr>
        <w:t>—</w:t>
      </w:r>
      <w:r>
        <w:t xml:space="preserve">, des politiques publiques. </w:t>
      </w:r>
      <w:r w:rsidR="00594852">
        <w:t>Ce faisant, nous avons rappelé notre distinction entre co-construction et co-production en réservant ce dernier concept pour traiter de la participation de l’ESS à la mise-en-œuvre des politiques publiques.</w:t>
      </w:r>
      <w:r>
        <w:t xml:space="preserve"> </w:t>
      </w:r>
      <w:r w:rsidR="0018117D">
        <w:t>Ainsi</w:t>
      </w:r>
      <w:r w:rsidR="005A7564">
        <w:t xml:space="preserve">, </w:t>
      </w:r>
      <w:r w:rsidR="0018117D">
        <w:t xml:space="preserve">il peut arriver </w:t>
      </w:r>
      <w:r w:rsidR="0018117D">
        <w:rPr>
          <w:rFonts w:ascii="Cambria" w:hAnsi="Cambria"/>
        </w:rPr>
        <w:t>—et il arrive souvent— que</w:t>
      </w:r>
      <w:r w:rsidR="0018117D">
        <w:t xml:space="preserve"> </w:t>
      </w:r>
      <w:r w:rsidR="005A7564">
        <w:t xml:space="preserve">l’ESS </w:t>
      </w:r>
      <w:r w:rsidR="0018117D">
        <w:t>joue</w:t>
      </w:r>
      <w:r w:rsidR="005A7564">
        <w:t xml:space="preserve"> un rôle important dans l’organisation des politiques publiques</w:t>
      </w:r>
      <w:r w:rsidR="00B65E54">
        <w:t>,</w:t>
      </w:r>
      <w:r w:rsidR="005A7564">
        <w:t xml:space="preserve"> sans pour autant être associée </w:t>
      </w:r>
      <w:r w:rsidR="00B65E54">
        <w:t>à leur co-construction. En somme</w:t>
      </w:r>
      <w:r w:rsidR="005A7564">
        <w:t xml:space="preserve">, un gouvernement peut très bien construire des politiques publiques tout  seul, </w:t>
      </w:r>
      <w:r w:rsidR="00BE0DCE">
        <w:t xml:space="preserve">sans les co-construire </w:t>
      </w:r>
      <w:r w:rsidR="00B65E54">
        <w:t>en laissant de la place à</w:t>
      </w:r>
      <w:r w:rsidR="005A7564">
        <w:t xml:space="preserve"> la participation décisionnelle d</w:t>
      </w:r>
      <w:r w:rsidR="00BE0DCE">
        <w:t xml:space="preserve">es acteurs de la société civile, </w:t>
      </w:r>
      <w:r w:rsidR="005A7564">
        <w:rPr>
          <w:rFonts w:ascii="Cambria" w:hAnsi="Cambria"/>
        </w:rPr>
        <w:t>incluant ceux de l’ESS</w:t>
      </w:r>
      <w:r w:rsidR="005A7564">
        <w:t xml:space="preserve">. </w:t>
      </w:r>
      <w:r w:rsidR="00B65E54">
        <w:t>En outre</w:t>
      </w:r>
      <w:r w:rsidR="00BE0DCE">
        <w:t xml:space="preserve">, lorsqu’il y a de la co-construction, </w:t>
      </w:r>
      <w:r w:rsidR="00B65E54">
        <w:t xml:space="preserve">cette dernière peut être </w:t>
      </w:r>
      <w:r w:rsidR="00BE0DCE">
        <w:t>plus ou moins démocratique</w:t>
      </w:r>
      <w:r>
        <w:t>.</w:t>
      </w:r>
      <w:r w:rsidR="00BE0DCE">
        <w:t xml:space="preserve"> </w:t>
      </w:r>
      <w:r w:rsidR="00B65E54">
        <w:t>Autrement dit, diverses configurations peuvent résulter du type de relations qui s’établissent entre les acteurs de la société politiq</w:t>
      </w:r>
      <w:r w:rsidR="00796689">
        <w:t>ue et ceux de la société civile</w:t>
      </w:r>
      <w:r w:rsidR="00B65E54">
        <w:t>. Ainsi, les lacunes de la co-construction des politiques sur le plan démocrati</w:t>
      </w:r>
      <w:r w:rsidR="00290298">
        <w:t>qu</w:t>
      </w:r>
      <w:r w:rsidR="00B65E54">
        <w:t>e</w:t>
      </w:r>
      <w:r w:rsidR="00290298">
        <w:t xml:space="preserve"> peuvent provenir du fait que, </w:t>
      </w:r>
      <w:r w:rsidR="00BE0DCE">
        <w:t>du côté de la société politique, la branche exécutive co-construit avec des segments de la société civile</w:t>
      </w:r>
      <w:r w:rsidR="00796689">
        <w:t>,</w:t>
      </w:r>
      <w:r w:rsidR="00BE0DCE">
        <w:t xml:space="preserve"> sans</w:t>
      </w:r>
      <w:r w:rsidR="00796689">
        <w:t xml:space="preserve"> pour autant</w:t>
      </w:r>
      <w:r w:rsidR="00BE0DCE">
        <w:t xml:space="preserve"> inclure dans le processus la branche législative et les</w:t>
      </w:r>
      <w:r w:rsidR="00290298">
        <w:t xml:space="preserve"> partis d’opposition. Ou encore</w:t>
      </w:r>
      <w:r w:rsidR="00796689">
        <w:t>,</w:t>
      </w:r>
      <w:r w:rsidR="00290298">
        <w:t xml:space="preserve"> du fait que du côté de la société civile,</w:t>
      </w:r>
      <w:r w:rsidR="00BE0DCE">
        <w:t xml:space="preserve"> </w:t>
      </w:r>
      <w:r w:rsidR="00290298">
        <w:t>certains acteurs, détenant plus de capital économique ou symbolique</w:t>
      </w:r>
      <w:r w:rsidR="0018117D">
        <w:t xml:space="preserve">, </w:t>
      </w:r>
      <w:r w:rsidR="00290298">
        <w:t>participent aux délibérations conduisant à des décisions, tandis que d’autres acteurs, détenant moins de capital économique et symbolique, sont tenus à l’écart du processus de délibération</w:t>
      </w:r>
      <w:r w:rsidR="00844E70">
        <w:t xml:space="preserve"> </w:t>
      </w:r>
      <w:r w:rsidR="00CE755C">
        <w:t>publique</w:t>
      </w:r>
      <w:r w:rsidR="0018117D">
        <w:t>.</w:t>
      </w:r>
      <w:r w:rsidR="00844E70">
        <w:t xml:space="preserve"> </w:t>
      </w:r>
      <w:r w:rsidR="00290298">
        <w:t xml:space="preserve">Nous avons </w:t>
      </w:r>
      <w:r w:rsidR="00393F7D">
        <w:t>aussi souligné</w:t>
      </w:r>
      <w:r w:rsidR="002F3019">
        <w:t xml:space="preserve"> que le caractère démocratique de </w:t>
      </w:r>
      <w:r w:rsidR="00CE6B25">
        <w:t>la co-construction des politiques publique</w:t>
      </w:r>
      <w:r w:rsidR="00EC3569">
        <w:t>s</w:t>
      </w:r>
      <w:r w:rsidR="002F3019">
        <w:t xml:space="preserve"> </w:t>
      </w:r>
      <w:r w:rsidR="002F3019" w:rsidRPr="003E0340">
        <w:t xml:space="preserve">pouvait </w:t>
      </w:r>
      <w:r w:rsidR="0088728D" w:rsidRPr="003E0340">
        <w:t>souffrir</w:t>
      </w:r>
      <w:r w:rsidR="002F3019" w:rsidRPr="003E0340">
        <w:t xml:space="preserve"> lorsque certaines</w:t>
      </w:r>
      <w:r w:rsidR="002F3019">
        <w:t xml:space="preserve"> composantes de l’ESS s’employaient à présenter directement leurs </w:t>
      </w:r>
      <w:r w:rsidR="00844E70">
        <w:t>demandes</w:t>
      </w:r>
      <w:r w:rsidR="002F3019">
        <w:t xml:space="preserve"> aux décideurs politiques tout en évitant d’en débattre avec d’autres acteurs concernés à l’intérieur</w:t>
      </w:r>
      <w:r w:rsidR="00DE5647">
        <w:t xml:space="preserve"> du périmètre de l’ESS</w:t>
      </w:r>
      <w:r w:rsidR="002907F7">
        <w:t xml:space="preserve">, ce qui </w:t>
      </w:r>
      <w:r w:rsidR="00844E70">
        <w:t>donne lieu à du lobbying plus qu’à</w:t>
      </w:r>
      <w:r w:rsidR="002907F7">
        <w:t xml:space="preserve"> de la co-construction démocratique</w:t>
      </w:r>
      <w:r w:rsidR="00FA55A7">
        <w:t>.</w:t>
      </w:r>
      <w:r w:rsidR="00393F7D">
        <w:t xml:space="preserve"> Bref, pour les divers acteurs de l’ESS, la co-construction commence dans leur propre cour.</w:t>
      </w:r>
    </w:p>
    <w:p w14:paraId="3468BACE" w14:textId="77777777" w:rsidR="00FA55A7" w:rsidRDefault="00FA55A7" w:rsidP="00FA55A7"/>
    <w:p w14:paraId="30D35098" w14:textId="77777777" w:rsidR="002D01AA" w:rsidRDefault="00FA55A7" w:rsidP="00FA55A7">
      <w:r>
        <w:t xml:space="preserve">Dans les trois </w:t>
      </w:r>
      <w:r w:rsidR="003A7023">
        <w:t>sections</w:t>
      </w:r>
      <w:r>
        <w:t xml:space="preserve"> </w:t>
      </w:r>
      <w:r w:rsidR="00190E39">
        <w:t xml:space="preserve">suivantes, nous avons </w:t>
      </w:r>
      <w:r w:rsidR="00844E70">
        <w:t>testé</w:t>
      </w:r>
      <w:r w:rsidR="00190E39">
        <w:t xml:space="preserve"> notre</w:t>
      </w:r>
      <w:r>
        <w:t xml:space="preserve"> cadre conceptuel en </w:t>
      </w:r>
      <w:r w:rsidR="00190E39">
        <w:t xml:space="preserve">l’utilisant pour </w:t>
      </w:r>
      <w:r w:rsidR="00393F7D">
        <w:t xml:space="preserve">analyser </w:t>
      </w:r>
      <w:r w:rsidR="00190E39">
        <w:t>certains</w:t>
      </w:r>
      <w:r>
        <w:t xml:space="preserve"> cas concrets de politiques publiques ayant trait d’une manière ou de l’autre à l’ESS.</w:t>
      </w:r>
      <w:r w:rsidR="00190E39">
        <w:t xml:space="preserve"> </w:t>
      </w:r>
      <w:r w:rsidR="00393F7D">
        <w:t>N</w:t>
      </w:r>
      <w:r w:rsidR="00190E39">
        <w:t>ous avons</w:t>
      </w:r>
      <w:r w:rsidR="00746F66">
        <w:t xml:space="preserve"> </w:t>
      </w:r>
      <w:r w:rsidR="00DB1BCD">
        <w:t>examiné des</w:t>
      </w:r>
      <w:r w:rsidR="00393F7D">
        <w:t xml:space="preserve"> politiques</w:t>
      </w:r>
      <w:r w:rsidR="00746F66">
        <w:t xml:space="preserve"> relevant </w:t>
      </w:r>
      <w:r w:rsidR="00190E39">
        <w:t>d</w:t>
      </w:r>
      <w:r w:rsidR="00746F66">
        <w:t>u gouvernement fédéral canadien  (</w:t>
      </w:r>
      <w:r w:rsidR="003A7023">
        <w:t>section</w:t>
      </w:r>
      <w:r w:rsidR="00746F66">
        <w:t xml:space="preserve"> II), </w:t>
      </w:r>
      <w:r w:rsidR="00190E39">
        <w:t>du gouvernemen</w:t>
      </w:r>
      <w:r w:rsidR="00746F66">
        <w:t>t du Québec (</w:t>
      </w:r>
      <w:r w:rsidR="003A7023">
        <w:t>section</w:t>
      </w:r>
      <w:r w:rsidR="00746F66">
        <w:t xml:space="preserve"> III) et de certains gouvernements nationaux ou locaux de l’Amérique latine et des Caraïbes </w:t>
      </w:r>
      <w:r w:rsidR="00190E39">
        <w:t>(ALC)</w:t>
      </w:r>
      <w:r w:rsidR="003A7023">
        <w:t xml:space="preserve"> (section I</w:t>
      </w:r>
      <w:r w:rsidR="00DE7A2F">
        <w:t>V</w:t>
      </w:r>
      <w:r w:rsidR="003A7023">
        <w:t>)</w:t>
      </w:r>
      <w:r w:rsidR="00190E39">
        <w:t xml:space="preserve">. </w:t>
      </w:r>
    </w:p>
    <w:p w14:paraId="35C7B64E" w14:textId="77777777" w:rsidR="002D01AA" w:rsidRDefault="002D01AA" w:rsidP="00FA55A7"/>
    <w:p w14:paraId="49A99511" w14:textId="77777777" w:rsidR="00FA55A7" w:rsidRDefault="00457FC1" w:rsidP="00FA55A7">
      <w:r>
        <w:t xml:space="preserve">La </w:t>
      </w:r>
      <w:r w:rsidR="003A7023">
        <w:t>section</w:t>
      </w:r>
      <w:r>
        <w:t xml:space="preserve"> II nous a permis de tirer des enseignements plutôt négatifs</w:t>
      </w:r>
      <w:r w:rsidR="00C27FA8">
        <w:t xml:space="preserve"> sur la non-résilience de deux</w:t>
      </w:r>
      <w:r w:rsidR="00061CC4">
        <w:t xml:space="preserve"> politiques co-construites de manière insuffisamment démocratique.</w:t>
      </w:r>
      <w:r w:rsidR="00C3278A">
        <w:t xml:space="preserve"> Les politiques visaient toutes les deux le soutien à l’ESS et relevaient</w:t>
      </w:r>
      <w:r w:rsidR="00C27FA8">
        <w:t xml:space="preserve"> successivement</w:t>
      </w:r>
      <w:r w:rsidR="00C3278A">
        <w:t xml:space="preserve"> de deux gouvernements du même parti politique, le Parti libéral du Canada (PLC)</w:t>
      </w:r>
      <w:r>
        <w:t>. La première politique</w:t>
      </w:r>
      <w:r w:rsidR="00260FF9">
        <w:t xml:space="preserve">, </w:t>
      </w:r>
      <w:r w:rsidR="00C27FA8">
        <w:t xml:space="preserve">développée et </w:t>
      </w:r>
      <w:r w:rsidR="001952E3">
        <w:t xml:space="preserve">conduite </w:t>
      </w:r>
      <w:r w:rsidR="00260FF9">
        <w:t xml:space="preserve">par le gouvernement du PLC de </w:t>
      </w:r>
      <w:r w:rsidR="001952E3">
        <w:t xml:space="preserve">Jean </w:t>
      </w:r>
      <w:r w:rsidR="00260FF9">
        <w:t>Chrétien</w:t>
      </w:r>
      <w:r w:rsidR="00B958C7">
        <w:t xml:space="preserve"> </w:t>
      </w:r>
      <w:r w:rsidR="009470EB">
        <w:t>de 1999 à 2004</w:t>
      </w:r>
      <w:r w:rsidR="00260FF9">
        <w:t>,</w:t>
      </w:r>
      <w:r w:rsidR="00011826">
        <w:t xml:space="preserve"> </w:t>
      </w:r>
      <w:r w:rsidR="00260FF9">
        <w:t>visait le soutien d</w:t>
      </w:r>
      <w:r w:rsidR="00011826">
        <w:t xml:space="preserve">es organismes bénévoles </w:t>
      </w:r>
      <w:r w:rsidR="00A55A15">
        <w:t xml:space="preserve">et communautaires, </w:t>
      </w:r>
      <w:r w:rsidR="003A7023">
        <w:t xml:space="preserve">une composante non </w:t>
      </w:r>
      <w:r w:rsidR="00011826">
        <w:t>marchande de l’ESS</w:t>
      </w:r>
      <w:r w:rsidR="009470EB">
        <w:t xml:space="preserve">. </w:t>
      </w:r>
      <w:r w:rsidR="00260FF9">
        <w:t>La deuxième,</w:t>
      </w:r>
      <w:r w:rsidR="009470EB">
        <w:t xml:space="preserve"> </w:t>
      </w:r>
      <w:r w:rsidR="00C27FA8">
        <w:t xml:space="preserve">développée et </w:t>
      </w:r>
      <w:r w:rsidR="001952E3">
        <w:t>conduite</w:t>
      </w:r>
      <w:r w:rsidR="009470EB">
        <w:t xml:space="preserve"> par le gouvernement du PLC</w:t>
      </w:r>
      <w:r w:rsidR="001952E3">
        <w:t xml:space="preserve"> </w:t>
      </w:r>
      <w:r w:rsidR="00C57A84">
        <w:t xml:space="preserve">de </w:t>
      </w:r>
      <w:r w:rsidR="001952E3">
        <w:t>Paul Martin</w:t>
      </w:r>
      <w:r w:rsidR="00260FF9">
        <w:t xml:space="preserve"> de 2004 à 2006</w:t>
      </w:r>
      <w:r w:rsidR="009470EB">
        <w:t xml:space="preserve">, </w:t>
      </w:r>
      <w:r w:rsidR="00260FF9">
        <w:t>visait le soutien d</w:t>
      </w:r>
      <w:r w:rsidR="009470EB">
        <w:t>es entreprises d’économie sociale, une composante marchande de l’ESS.</w:t>
      </w:r>
      <w:r w:rsidR="007D3739">
        <w:t xml:space="preserve"> Paradoxalement, l</w:t>
      </w:r>
      <w:r w:rsidR="001952E3">
        <w:t xml:space="preserve">a première politique, celle du </w:t>
      </w:r>
      <w:r w:rsidR="001952E3">
        <w:lastRenderedPageBreak/>
        <w:t xml:space="preserve">gouvernement Chrétien, a été abandonnée par le gouvernement de Martin, même si les deux premiers ministres appartenaient au même parti, le PLC. </w:t>
      </w:r>
      <w:r w:rsidR="009470EB">
        <w:t xml:space="preserve"> </w:t>
      </w:r>
      <w:r w:rsidR="007D3739">
        <w:t xml:space="preserve">Dans les faits, les gouvernements de Chrétien et de Martin relevaient </w:t>
      </w:r>
      <w:r w:rsidR="007D3739" w:rsidRPr="003E0340">
        <w:t xml:space="preserve">de deux </w:t>
      </w:r>
      <w:r w:rsidR="0088728D" w:rsidRPr="003E0340">
        <w:t>tendances distinctes au sein</w:t>
      </w:r>
      <w:r w:rsidR="007D3739" w:rsidRPr="003E0340">
        <w:t xml:space="preserve"> du</w:t>
      </w:r>
      <w:r w:rsidR="007D3739">
        <w:t xml:space="preserve"> PLC</w:t>
      </w:r>
      <w:r w:rsidR="00110DB1">
        <w:t>.</w:t>
      </w:r>
      <w:r w:rsidR="007D3739">
        <w:t xml:space="preserve">  Par contre, la deuxième politique a été abandonnée à la suite des élections de janvier 2006 </w:t>
      </w:r>
      <w:r w:rsidR="00110DB1">
        <w:t>et</w:t>
      </w:r>
      <w:r w:rsidR="007D3739">
        <w:t xml:space="preserve"> de la victoire du Parti conservateur du Canada (PCC) dirigé par Stephen Harper. Quelles leçons tirer de ces deux expériences?  </w:t>
      </w:r>
      <w:r w:rsidR="009470EB">
        <w:t xml:space="preserve">Les deux politiques </w:t>
      </w:r>
      <w:r w:rsidR="00260FF9">
        <w:t>ont été co-construites, mais d’une façon faiblement démocratique</w:t>
      </w:r>
      <w:r w:rsidR="003A7023">
        <w:t xml:space="preserve">, </w:t>
      </w:r>
      <w:r w:rsidR="00110DB1">
        <w:t>ce qui les a fragilisées. D</w:t>
      </w:r>
      <w:r w:rsidR="007D3739">
        <w:t>’où l</w:t>
      </w:r>
      <w:r w:rsidR="003A7023">
        <w:t xml:space="preserve">eur faible </w:t>
      </w:r>
      <w:r w:rsidR="007D3739">
        <w:t xml:space="preserve">capacité de </w:t>
      </w:r>
      <w:r w:rsidR="00260FF9">
        <w:t>résilience</w:t>
      </w:r>
      <w:r w:rsidR="007D3739">
        <w:t xml:space="preserve"> </w:t>
      </w:r>
      <w:r w:rsidR="003A7023">
        <w:t xml:space="preserve">manifestée </w:t>
      </w:r>
      <w:r w:rsidR="00260FF9">
        <w:t xml:space="preserve">dès </w:t>
      </w:r>
      <w:r w:rsidR="00110DB1">
        <w:t>l’arrivée d’un</w:t>
      </w:r>
      <w:r w:rsidR="003F79A6">
        <w:t xml:space="preserve"> </w:t>
      </w:r>
      <w:r w:rsidR="00D813B6">
        <w:t>nouveau</w:t>
      </w:r>
      <w:r w:rsidR="00260FF9">
        <w:t xml:space="preserve"> gouvernement</w:t>
      </w:r>
      <w:r w:rsidR="009470EB">
        <w:t xml:space="preserve">. </w:t>
      </w:r>
      <w:r w:rsidR="003F79A6">
        <w:t>D</w:t>
      </w:r>
      <w:r w:rsidR="00FB66BA">
        <w:t xml:space="preserve">ans les deux cas, il y </w:t>
      </w:r>
      <w:r w:rsidR="003F79A6">
        <w:t xml:space="preserve">a eu </w:t>
      </w:r>
      <w:r w:rsidR="00CF4E68">
        <w:t xml:space="preserve">une certaine </w:t>
      </w:r>
      <w:r w:rsidR="00FB66BA">
        <w:t>co-construction</w:t>
      </w:r>
      <w:r w:rsidR="003F79A6">
        <w:t>, mais cette dernière reposait sur des bases trop étroites, tant du côté de l</w:t>
      </w:r>
      <w:r w:rsidR="00110DB1">
        <w:t>a société politique (avec l’oubli</w:t>
      </w:r>
      <w:r w:rsidR="003F79A6">
        <w:t xml:space="preserve"> d’inclure dans la délibération d’autres tendances du P</w:t>
      </w:r>
      <w:r w:rsidR="008B119F">
        <w:t>LC et les partis politiques d</w:t>
      </w:r>
      <w:r w:rsidR="003F79A6">
        <w:t>’opposi</w:t>
      </w:r>
      <w:r w:rsidR="00110DB1">
        <w:t>tion), que du côté</w:t>
      </w:r>
      <w:r w:rsidR="00D803B2">
        <w:t xml:space="preserve"> de la société civile (</w:t>
      </w:r>
      <w:r w:rsidR="00110DB1">
        <w:t>avec l’oubli</w:t>
      </w:r>
      <w:r w:rsidR="007251D6">
        <w:t xml:space="preserve"> d’inclure </w:t>
      </w:r>
      <w:r w:rsidR="003F79A6">
        <w:t xml:space="preserve">dans la délibération </w:t>
      </w:r>
      <w:r w:rsidR="00110DB1">
        <w:t>d’autres familles</w:t>
      </w:r>
      <w:r w:rsidR="00FB66BA">
        <w:t xml:space="preserve"> de l’ESS</w:t>
      </w:r>
      <w:r w:rsidR="007251D6">
        <w:t xml:space="preserve"> et d’autres réseaux d’acteurs socioéconomiques </w:t>
      </w:r>
      <w:r w:rsidR="008B119F">
        <w:t xml:space="preserve">concernés par la politique et </w:t>
      </w:r>
      <w:r w:rsidR="00110DB1">
        <w:t>susceptibles</w:t>
      </w:r>
      <w:r w:rsidR="008B119F">
        <w:t xml:space="preserve"> de contribuer à son </w:t>
      </w:r>
      <w:r w:rsidR="007251D6">
        <w:t>élaboration</w:t>
      </w:r>
      <w:r w:rsidR="008B119F">
        <w:t xml:space="preserve"> et à sa défense</w:t>
      </w:r>
      <w:r w:rsidR="00D803B2">
        <w:t>)</w:t>
      </w:r>
      <w:r w:rsidR="007251D6">
        <w:t>.</w:t>
      </w:r>
    </w:p>
    <w:p w14:paraId="09C89900" w14:textId="77777777" w:rsidR="005B419B" w:rsidRDefault="005B419B" w:rsidP="00FA55A7"/>
    <w:p w14:paraId="6FA25716" w14:textId="77777777" w:rsidR="0019781B" w:rsidRDefault="005B419B" w:rsidP="00FA55A7">
      <w:r>
        <w:t xml:space="preserve">La </w:t>
      </w:r>
      <w:r w:rsidR="008B119F" w:rsidRPr="008B119F">
        <w:t>section</w:t>
      </w:r>
      <w:r w:rsidR="005D25C7">
        <w:t xml:space="preserve"> III</w:t>
      </w:r>
      <w:r w:rsidR="008B119F">
        <w:rPr>
          <w:i/>
        </w:rPr>
        <w:t xml:space="preserve"> </w:t>
      </w:r>
      <w:r>
        <w:t xml:space="preserve">a </w:t>
      </w:r>
      <w:r w:rsidR="00110DB1">
        <w:t>permis de tirer</w:t>
      </w:r>
      <w:r>
        <w:t xml:space="preserve"> les enseignements</w:t>
      </w:r>
      <w:r w:rsidR="00D803B2">
        <w:t xml:space="preserve"> davantage positifs</w:t>
      </w:r>
      <w:r>
        <w:t xml:space="preserve"> de six cas de politiques publiques québécoises qui ont été adoptées par des gouvernements </w:t>
      </w:r>
      <w:r w:rsidR="00882552">
        <w:t>différents du Parti Québécois (PQ) au cou</w:t>
      </w:r>
      <w:r w:rsidR="00D803B2">
        <w:t>rs des années 1994 à 2002</w:t>
      </w:r>
      <w:r w:rsidR="00001206">
        <w:t xml:space="preserve"> et sont encore en vigueur</w:t>
      </w:r>
      <w:r w:rsidR="00B466B6">
        <w:t xml:space="preserve"> </w:t>
      </w:r>
      <w:r w:rsidR="00001206">
        <w:t>présentement</w:t>
      </w:r>
      <w:r w:rsidR="00D803B2">
        <w:t>. Dans ces cas, les politiques ont fait preuve de résilience. Elles</w:t>
      </w:r>
      <w:r w:rsidR="00882552">
        <w:t xml:space="preserve"> ont </w:t>
      </w:r>
      <w:r w:rsidR="00FF2C50">
        <w:t>perduré</w:t>
      </w:r>
      <w:r w:rsidR="00882552">
        <w:t xml:space="preserve"> </w:t>
      </w:r>
      <w:r w:rsidR="00FF2C50">
        <w:t>à travers</w:t>
      </w:r>
      <w:r w:rsidR="00882552">
        <w:t xml:space="preserve"> plusieurs changements de gouvernements</w:t>
      </w:r>
      <w:r w:rsidR="005D25C7">
        <w:t xml:space="preserve"> sur une période de plus de 15 ans</w:t>
      </w:r>
      <w:r w:rsidR="00882552">
        <w:t>. Ces politiques</w:t>
      </w:r>
      <w:r w:rsidR="00FF2C50">
        <w:t xml:space="preserve"> </w:t>
      </w:r>
      <w:r w:rsidR="00882552">
        <w:t>entretiennent des interfaces avec l’ESS de diverses manières, soit en visant la reconnaissance de certaines composantes de l’ESS (comme la reconnaissance des organismes communautaires ou de l’économie sociale), soit en faisant appel aux acteurs de l’ESS pour leur mise en œuvre (par exemple dans les services à domicile, les services à la petite enfance, le logement social, la lutte visant</w:t>
      </w:r>
      <w:r w:rsidR="00D803B2">
        <w:t xml:space="preserve"> à contrer</w:t>
      </w:r>
      <w:r w:rsidR="00882552">
        <w:t xml:space="preserve"> la pauvreté et l’exclusio</w:t>
      </w:r>
      <w:r w:rsidR="00D803B2">
        <w:t>n sociale). Les six cas</w:t>
      </w:r>
      <w:r w:rsidR="00882552">
        <w:t xml:space="preserve"> </w:t>
      </w:r>
      <w:r w:rsidR="00D52E64">
        <w:t xml:space="preserve">témoignent d’une co-construction démocratique, </w:t>
      </w:r>
      <w:r w:rsidR="00FF2C50">
        <w:t>avec</w:t>
      </w:r>
      <w:r w:rsidR="00D52E64">
        <w:t xml:space="preserve"> des modalités et des degrés d’intensité qui varient d’un cas à l’autre. Par exemple, la co-construction démocratique a été moins </w:t>
      </w:r>
      <w:r w:rsidR="00D803B2">
        <w:t xml:space="preserve">réussie </w:t>
      </w:r>
      <w:r w:rsidR="00D52E64">
        <w:t xml:space="preserve">dans le </w:t>
      </w:r>
      <w:r w:rsidR="00FF2C50">
        <w:t xml:space="preserve">dossier des </w:t>
      </w:r>
      <w:r w:rsidR="00FF2C50" w:rsidRPr="003E0340">
        <w:t xml:space="preserve">services </w:t>
      </w:r>
      <w:r w:rsidR="00D52E64" w:rsidRPr="003E0340">
        <w:t xml:space="preserve"> à domicile</w:t>
      </w:r>
      <w:r w:rsidR="00FF2C50" w:rsidRPr="003E0340">
        <w:t xml:space="preserve"> </w:t>
      </w:r>
      <w:r w:rsidR="0088728D" w:rsidRPr="003E0340">
        <w:t>pour les</w:t>
      </w:r>
      <w:r w:rsidR="00FF2C50">
        <w:t xml:space="preserve"> personnes âgées et handicapées</w:t>
      </w:r>
      <w:r w:rsidR="00C5193D">
        <w:t xml:space="preserve">. Mais elle a été </w:t>
      </w:r>
      <w:r w:rsidR="00D803B2">
        <w:t>davantage réussie</w:t>
      </w:r>
      <w:r w:rsidR="00FF2C50">
        <w:t xml:space="preserve"> dans le dossier</w:t>
      </w:r>
      <w:r w:rsidR="00D52E64">
        <w:t xml:space="preserve"> </w:t>
      </w:r>
      <w:r w:rsidR="00D803B2">
        <w:t>de la politique</w:t>
      </w:r>
      <w:r w:rsidR="00D52E64">
        <w:t xml:space="preserve"> de soutien à la petite enfance. Dans tous les cas, on remarque que la participation</w:t>
      </w:r>
      <w:r w:rsidR="004712FA">
        <w:t xml:space="preserve"> à la co-construction</w:t>
      </w:r>
      <w:r w:rsidR="00D52E64">
        <w:t xml:space="preserve"> des acteurs de la société civile</w:t>
      </w:r>
      <w:r w:rsidR="00D803B2">
        <w:t>, sans oublier</w:t>
      </w:r>
      <w:r w:rsidR="00D52E64">
        <w:t xml:space="preserve"> ceux de l’ESS</w:t>
      </w:r>
      <w:r w:rsidR="00D803B2">
        <w:t>,</w:t>
      </w:r>
      <w:r w:rsidR="00D52E64">
        <w:t xml:space="preserve"> a été particulièrement forte</w:t>
      </w:r>
      <w:r w:rsidR="008E60E5">
        <w:t xml:space="preserve"> et diversifiée</w:t>
      </w:r>
      <w:r w:rsidR="00D52E64">
        <w:t xml:space="preserve"> dans la période de genèse de la politique publique</w:t>
      </w:r>
      <w:r w:rsidR="00C5193D">
        <w:t xml:space="preserve">, surtout lorsque cette </w:t>
      </w:r>
      <w:r w:rsidR="00DE7985">
        <w:t>genèse a</w:t>
      </w:r>
      <w:r w:rsidR="00D803B2">
        <w:t xml:space="preserve"> misé sur le facteur temps en s’étendant</w:t>
      </w:r>
      <w:r w:rsidR="00D52E64">
        <w:t xml:space="preserve"> sur plusieurs années, par exemple de 1995 à 2002 dans le cas de la politique anti-pauvreté. </w:t>
      </w:r>
      <w:r w:rsidR="008E60E5">
        <w:t xml:space="preserve"> On remarque aussi que les politiques les plus démocratiquement co-construites ont été capables </w:t>
      </w:r>
      <w:r w:rsidR="003043B4">
        <w:t xml:space="preserve">en amont de leur </w:t>
      </w:r>
      <w:r w:rsidR="008E60E5">
        <w:t xml:space="preserve">adoption et parfois </w:t>
      </w:r>
      <w:r w:rsidR="003043B4">
        <w:t>en aval</w:t>
      </w:r>
      <w:r w:rsidR="008E60E5">
        <w:t xml:space="preserve"> de mobiliser l’appui</w:t>
      </w:r>
      <w:r w:rsidR="0019781B">
        <w:t xml:space="preserve"> non seulement du parti</w:t>
      </w:r>
      <w:r w:rsidR="00001206">
        <w:t xml:space="preserve"> politique</w:t>
      </w:r>
      <w:r w:rsidR="0019781B">
        <w:t xml:space="preserve"> au pouvoir et de la branche exécutive du gouvernement, mais aussi </w:t>
      </w:r>
      <w:r w:rsidR="004712FA">
        <w:t xml:space="preserve">celui </w:t>
      </w:r>
      <w:r w:rsidR="0019781B">
        <w:t>des partis d’opposition et de la branche législative (l’Assemblée nationale), comme ce fut éloquemment le cas lors de la genèse de la loi anti-pauvreté</w:t>
      </w:r>
      <w:r w:rsidR="003043B4">
        <w:t xml:space="preserve"> qui a duré 8 ans</w:t>
      </w:r>
      <w:r w:rsidR="00F232FA">
        <w:t>.</w:t>
      </w:r>
    </w:p>
    <w:p w14:paraId="41F3C8C6" w14:textId="77777777" w:rsidR="0019781B" w:rsidRDefault="0019781B" w:rsidP="00FA55A7"/>
    <w:p w14:paraId="406A2F6B" w14:textId="77777777" w:rsidR="00CC73E6" w:rsidRDefault="0019781B" w:rsidP="00FA55A7">
      <w:r>
        <w:t xml:space="preserve">La </w:t>
      </w:r>
      <w:r w:rsidR="001A0154">
        <w:t>section</w:t>
      </w:r>
      <w:r w:rsidR="00C5193D">
        <w:t xml:space="preserve"> IV</w:t>
      </w:r>
      <w:r>
        <w:t xml:space="preserve"> de notre texte </w:t>
      </w:r>
      <w:r w:rsidR="00C5193D">
        <w:t>a porté</w:t>
      </w:r>
      <w:r>
        <w:t xml:space="preserve"> sur la co-construction dans les pays de l’ALC. Comparativement aux parties II et III qui sont basées sur des études de cas faites</w:t>
      </w:r>
      <w:r w:rsidR="001A0154">
        <w:t xml:space="preserve"> par</w:t>
      </w:r>
      <w:r>
        <w:t xml:space="preserve"> nous-mêmes ou </w:t>
      </w:r>
      <w:r w:rsidR="003043B4">
        <w:t>par des chercheurs</w:t>
      </w:r>
      <w:r>
        <w:t xml:space="preserve"> proches</w:t>
      </w:r>
      <w:r w:rsidR="003043B4">
        <w:t xml:space="preserve"> de nous</w:t>
      </w:r>
      <w:r>
        <w:t xml:space="preserve">, </w:t>
      </w:r>
      <w:r w:rsidR="00C5193D">
        <w:t xml:space="preserve">nos </w:t>
      </w:r>
      <w:r w:rsidR="00FF48AD">
        <w:t>travaux</w:t>
      </w:r>
      <w:r>
        <w:t xml:space="preserve"> sur</w:t>
      </w:r>
      <w:r w:rsidR="003043B4">
        <w:t xml:space="preserve"> </w:t>
      </w:r>
      <w:r w:rsidR="004712FA">
        <w:t xml:space="preserve"> la co-construction</w:t>
      </w:r>
      <w:r w:rsidR="003043B4">
        <w:t xml:space="preserve"> des politiques</w:t>
      </w:r>
      <w:r w:rsidR="004712FA">
        <w:t xml:space="preserve"> dans</w:t>
      </w:r>
      <w:r w:rsidR="00C5193D">
        <w:t xml:space="preserve"> les pays de</w:t>
      </w:r>
      <w:r>
        <w:t xml:space="preserve"> l’ALC revêt</w:t>
      </w:r>
      <w:r w:rsidR="00FF48AD">
        <w:t>ent</w:t>
      </w:r>
      <w:r>
        <w:t xml:space="preserve"> u</w:t>
      </w:r>
      <w:r w:rsidR="00C5193D">
        <w:t xml:space="preserve">n caractère plus exploratoire. </w:t>
      </w:r>
      <w:r w:rsidR="00FF48AD">
        <w:t>Ils</w:t>
      </w:r>
      <w:r>
        <w:t xml:space="preserve"> s’appuie</w:t>
      </w:r>
      <w:r w:rsidR="00C5193D">
        <w:t>nt</w:t>
      </w:r>
      <w:r>
        <w:t xml:space="preserve"> </w:t>
      </w:r>
      <w:r w:rsidR="00954919">
        <w:t xml:space="preserve">souvent </w:t>
      </w:r>
      <w:r w:rsidR="00C5193D">
        <w:t xml:space="preserve">sur les écrits </w:t>
      </w:r>
      <w:r>
        <w:t>d’autres chercheurs</w:t>
      </w:r>
      <w:r w:rsidR="004712FA">
        <w:t xml:space="preserve"> dont les cadres conceptuels peuvent </w:t>
      </w:r>
      <w:r w:rsidR="004712FA">
        <w:lastRenderedPageBreak/>
        <w:t>s’harmoniser avec le nôtre</w:t>
      </w:r>
      <w:r w:rsidR="00FF48AD">
        <w:t xml:space="preserve"> sur certains points</w:t>
      </w:r>
      <w:r w:rsidR="001A0154">
        <w:t>,</w:t>
      </w:r>
      <w:r w:rsidR="004712FA">
        <w:t xml:space="preserve"> </w:t>
      </w:r>
      <w:r w:rsidR="00FF48AD">
        <w:t xml:space="preserve">tout en s’en </w:t>
      </w:r>
      <w:r w:rsidR="00171731">
        <w:t>éloign</w:t>
      </w:r>
      <w:r w:rsidR="00FF48AD">
        <w:t>ant sur d’autres</w:t>
      </w:r>
      <w:r w:rsidR="002024A4">
        <w:rPr>
          <w:rStyle w:val="Marquenotebasdepage"/>
        </w:rPr>
        <w:footnoteReference w:id="58"/>
      </w:r>
      <w:r w:rsidR="004712FA">
        <w:t xml:space="preserve">. </w:t>
      </w:r>
      <w:r w:rsidR="001A0154">
        <w:t xml:space="preserve">Par exemple, même si nous savons par ailleurs (Vaillancourt, </w:t>
      </w:r>
      <w:r w:rsidR="002A179D">
        <w:t xml:space="preserve">2011 et </w:t>
      </w:r>
      <w:r w:rsidR="001A0154">
        <w:t>2013; Hillenkamp, 2013) que les réseaux d’ESS sont très dynamiques</w:t>
      </w:r>
      <w:r w:rsidR="000D2A1E">
        <w:t xml:space="preserve"> et présents dans l’espace public</w:t>
      </w:r>
      <w:r w:rsidR="001A0154">
        <w:t xml:space="preserve"> dans la majorité des pays</w:t>
      </w:r>
      <w:r w:rsidR="000D2A1E">
        <w:t xml:space="preserve"> de l’ALC, les écrits auxquels nous avons eu accès dans nos travaux sur certains thèmes comme les budgets participatifs ou les assemblées constituantes n’y font pas toujours référence</w:t>
      </w:r>
      <w:r w:rsidR="00C5193D">
        <w:t>, ce qui nous empêche parfois d’analyser avec</w:t>
      </w:r>
      <w:r w:rsidR="002A179D">
        <w:t xml:space="preserve"> autant de</w:t>
      </w:r>
      <w:r w:rsidR="00C5193D">
        <w:t xml:space="preserve"> précision </w:t>
      </w:r>
      <w:r w:rsidR="002A179D">
        <w:t xml:space="preserve">que nous le souhaiterions </w:t>
      </w:r>
      <w:r w:rsidR="00C5193D">
        <w:t>le rôle de l’ESS dans la co-construction démocratique</w:t>
      </w:r>
      <w:r w:rsidR="000D2A1E">
        <w:t xml:space="preserve">. Néanmoins, nous sommes très content d’avoir pris le risque, </w:t>
      </w:r>
      <w:r w:rsidR="00495875">
        <w:t>en dépit de</w:t>
      </w:r>
      <w:r w:rsidR="000D2A1E">
        <w:t xml:space="preserve"> la limite de nos moyens, d’ouvrir des chantiers de réflexion</w:t>
      </w:r>
      <w:r w:rsidR="002A179D">
        <w:t xml:space="preserve"> originaux</w:t>
      </w:r>
      <w:r w:rsidR="000D2A1E">
        <w:t xml:space="preserve"> sur quelques facettes de la co-construction démocratique</w:t>
      </w:r>
      <w:r w:rsidR="00495875">
        <w:t xml:space="preserve"> des politiques publiques dans divers pays de l’</w:t>
      </w:r>
      <w:r w:rsidR="000D2A1E">
        <w:t>ALC</w:t>
      </w:r>
      <w:r w:rsidR="009A7665">
        <w:t xml:space="preserve">. </w:t>
      </w:r>
      <w:r w:rsidR="001A0154">
        <w:t xml:space="preserve"> </w:t>
      </w:r>
      <w:r w:rsidR="00903907">
        <w:t xml:space="preserve">Les analyses que nous avons présentées </w:t>
      </w:r>
      <w:r w:rsidR="00495875">
        <w:t>nous ont sensibilisé</w:t>
      </w:r>
      <w:r w:rsidR="00A93DFB">
        <w:t xml:space="preserve"> au fait</w:t>
      </w:r>
      <w:r w:rsidR="00903907">
        <w:t xml:space="preserve"> que cette co-construction démocratique</w:t>
      </w:r>
      <w:r w:rsidR="00A93DFB">
        <w:t xml:space="preserve"> peut s’actualiser davantage dans certains pays que dans d’autres, voire d’un territoire à l’autre</w:t>
      </w:r>
      <w:r w:rsidR="002A179D">
        <w:t xml:space="preserve"> et d’un domaine de politique à l’autre</w:t>
      </w:r>
      <w:r w:rsidR="00A93DFB">
        <w:t xml:space="preserve"> à l’intérieur d’un même pays. Nous avons cons</w:t>
      </w:r>
      <w:r w:rsidR="00CC73E6">
        <w:t xml:space="preserve">taté, entre autres : </w:t>
      </w:r>
    </w:p>
    <w:p w14:paraId="44A9ED65" w14:textId="77777777" w:rsidR="005B419B" w:rsidRDefault="00CC73E6" w:rsidP="00CC73E6">
      <w:pPr>
        <w:pStyle w:val="Paragraphedeliste"/>
        <w:numPr>
          <w:ilvl w:val="0"/>
          <w:numId w:val="45"/>
        </w:numPr>
      </w:pPr>
      <w:r>
        <w:t>Q</w:t>
      </w:r>
      <w:r w:rsidR="00A93DFB">
        <w:t xml:space="preserve">ue la co-construction démocratique existait peu ou </w:t>
      </w:r>
      <w:r w:rsidR="00C6404E" w:rsidRPr="003E0340">
        <w:t xml:space="preserve">difficilement </w:t>
      </w:r>
      <w:r w:rsidR="00A93DFB" w:rsidRPr="003E0340">
        <w:t xml:space="preserve">au </w:t>
      </w:r>
      <w:r w:rsidR="0088728D" w:rsidRPr="003E0340">
        <w:t>Mexique en ce moment</w:t>
      </w:r>
      <w:r w:rsidR="00A93DFB" w:rsidRPr="003E0340">
        <w:t>, un pays dans lequel l’hégémonie néolibéral</w:t>
      </w:r>
      <w:r w:rsidR="00A93DFB">
        <w:t xml:space="preserve">e exerce un contrôle non seulement sur la gouvernance nationale à Mexico, mais aussi sur </w:t>
      </w:r>
      <w:r w:rsidR="00C6404E">
        <w:t>celle</w:t>
      </w:r>
      <w:r w:rsidR="00A93DFB">
        <w:t xml:space="preserve"> des</w:t>
      </w:r>
      <w:r w:rsidR="00C6404E">
        <w:t xml:space="preserve"> gouvernements régionaux et locaux des</w:t>
      </w:r>
      <w:r w:rsidR="00A93DFB">
        <w:t xml:space="preserve"> </w:t>
      </w:r>
      <w:r w:rsidR="00D2614C" w:rsidRPr="00D2614C">
        <w:t xml:space="preserve">32 </w:t>
      </w:r>
      <w:r w:rsidR="00A93DFB" w:rsidRPr="00D2614C">
        <w:t>États</w:t>
      </w:r>
      <w:r w:rsidR="00D2614C">
        <w:t xml:space="preserve"> territoriaux</w:t>
      </w:r>
      <w:r>
        <w:t xml:space="preserve"> </w:t>
      </w:r>
      <w:r w:rsidR="00A93DFB">
        <w:t>et des principales villes du pays</w:t>
      </w:r>
      <w:r w:rsidR="00666EFA">
        <w:t xml:space="preserve">. </w:t>
      </w:r>
      <w:r>
        <w:t>Ce</w:t>
      </w:r>
      <w:r w:rsidR="00C6404E">
        <w:t xml:space="preserve">tte situation </w:t>
      </w:r>
      <w:r>
        <w:t xml:space="preserve"> contraste avec </w:t>
      </w:r>
      <w:r w:rsidR="00C6404E">
        <w:t>celle qui prévaut présentement</w:t>
      </w:r>
      <w:r>
        <w:t xml:space="preserve"> dans des pays comme la Colombie ou le Pérou où la co-construction démocratique avec participation de l’ESS peut exister dans certains territoires</w:t>
      </w:r>
      <w:r w:rsidR="00C6404E">
        <w:t xml:space="preserve"> locaux</w:t>
      </w:r>
      <w:r>
        <w:t>, par exemple dans la Ville de Medellin, en dépit de l’existence d’un gouvernement d’orientation plutôt néolibérale au plan national.</w:t>
      </w:r>
    </w:p>
    <w:p w14:paraId="46050725" w14:textId="77777777" w:rsidR="00CC73E6" w:rsidRDefault="00CC73E6" w:rsidP="00CC73E6">
      <w:pPr>
        <w:pStyle w:val="Paragraphedeliste"/>
        <w:numPr>
          <w:ilvl w:val="0"/>
          <w:numId w:val="45"/>
        </w:numPr>
      </w:pPr>
      <w:r>
        <w:t>Qu</w:t>
      </w:r>
      <w:r w:rsidR="00157189">
        <w:t>e la co-construction démocratique</w:t>
      </w:r>
      <w:r>
        <w:t xml:space="preserve"> existe</w:t>
      </w:r>
      <w:r w:rsidR="000B662D">
        <w:t xml:space="preserve"> dans certaines expériences</w:t>
      </w:r>
      <w:r w:rsidR="00940589">
        <w:t xml:space="preserve"> municipales</w:t>
      </w:r>
      <w:r w:rsidR="000B662D">
        <w:t xml:space="preserve"> de budgets participatifs</w:t>
      </w:r>
      <w:r w:rsidR="00C6404E">
        <w:t xml:space="preserve"> au Brésil</w:t>
      </w:r>
      <w:r w:rsidR="00157189">
        <w:t>,</w:t>
      </w:r>
      <w:r>
        <w:t xml:space="preserve"> sous des formes et à des degrés qui varient</w:t>
      </w:r>
      <w:r w:rsidR="00157189">
        <w:t xml:space="preserve"> d’un cas à l’autre,</w:t>
      </w:r>
      <w:r>
        <w:t xml:space="preserve"> </w:t>
      </w:r>
      <w:r w:rsidR="00C6404E">
        <w:t>notamment dans d</w:t>
      </w:r>
      <w:r w:rsidR="00940589">
        <w:t>es États et des villes qui ont eu des gouvernements progressistes au cours des années 1990 et 2000</w:t>
      </w:r>
      <w:r>
        <w:t>.</w:t>
      </w:r>
      <w:r w:rsidR="00940589">
        <w:t xml:space="preserve"> Nous pensons</w:t>
      </w:r>
      <w:r w:rsidR="003A0BB4">
        <w:t xml:space="preserve"> notamment</w:t>
      </w:r>
      <w:r w:rsidR="00940589">
        <w:t xml:space="preserve"> à l’État de Rio Grande Do Sul et à la Ville de Porto Alegre.</w:t>
      </w:r>
    </w:p>
    <w:p w14:paraId="49EFECE9" w14:textId="77777777" w:rsidR="000F5897" w:rsidRDefault="000F5897" w:rsidP="00CC73E6">
      <w:pPr>
        <w:pStyle w:val="Paragraphedeliste"/>
        <w:numPr>
          <w:ilvl w:val="0"/>
          <w:numId w:val="45"/>
        </w:numPr>
      </w:pPr>
      <w:r>
        <w:t>Que la co-construction démocratique a été présente dans les expériences d’assemblées constituantes qui ont eu lieu</w:t>
      </w:r>
      <w:r w:rsidR="002D2787">
        <w:t xml:space="preserve"> au cours des 15 dernières années dans des pays</w:t>
      </w:r>
      <w:r w:rsidR="00C0692A">
        <w:t xml:space="preserve"> « postnéolibéraux » (Sader, 2014b</w:t>
      </w:r>
      <w:r w:rsidR="002D2787">
        <w:t xml:space="preserve">) comme le Venezuela, la Bolivie et l’Équateur et </w:t>
      </w:r>
      <w:r w:rsidR="00C916A6">
        <w:t>qu’elle pourrait surgir bientôt</w:t>
      </w:r>
      <w:r w:rsidR="002D2787">
        <w:t xml:space="preserve"> au Chili </w:t>
      </w:r>
      <w:r w:rsidR="00C916A6">
        <w:t xml:space="preserve">avec le lancement d’une démarche d’assemblée constituante </w:t>
      </w:r>
      <w:r w:rsidR="00730786">
        <w:t xml:space="preserve">dans une </w:t>
      </w:r>
      <w:r w:rsidR="00C916A6">
        <w:t xml:space="preserve">nouvelle </w:t>
      </w:r>
      <w:r w:rsidR="00730786">
        <w:t>conjoncture marquée par</w:t>
      </w:r>
      <w:r w:rsidR="002D2787">
        <w:t xml:space="preserve"> l’arrivée du nouveau gouvernement Bachelet</w:t>
      </w:r>
      <w:r w:rsidR="00730786">
        <w:t xml:space="preserve"> et l’impact des luttes du mouvement étudiant </w:t>
      </w:r>
      <w:r w:rsidR="003A0BB4">
        <w:t>de 2011 et 2012</w:t>
      </w:r>
      <w:r w:rsidR="002D2787">
        <w:t>.</w:t>
      </w:r>
    </w:p>
    <w:p w14:paraId="146071A7" w14:textId="77777777" w:rsidR="002D2787" w:rsidRPr="005B419B" w:rsidRDefault="002D2787" w:rsidP="00CC73E6">
      <w:pPr>
        <w:pStyle w:val="Paragraphedeliste"/>
        <w:numPr>
          <w:ilvl w:val="0"/>
          <w:numId w:val="45"/>
        </w:numPr>
      </w:pPr>
      <w:r>
        <w:t>Que la co-construction démocratique</w:t>
      </w:r>
      <w:r w:rsidR="00C916A6">
        <w:t xml:space="preserve"> </w:t>
      </w:r>
      <w:r>
        <w:t>serait supposée</w:t>
      </w:r>
      <w:r w:rsidR="00C916A6">
        <w:t>,</w:t>
      </w:r>
      <w:r>
        <w:t xml:space="preserve"> théoriquement</w:t>
      </w:r>
      <w:r w:rsidR="00C916A6">
        <w:t>,</w:t>
      </w:r>
      <w:r>
        <w:t xml:space="preserve"> émerger plus facilement dans des pays dirigés par des gouvernements progressistes, mais que, sur le plan pratique, ce n’est pas ce qui se passe présentement dans des pays comme la Bolivie </w:t>
      </w:r>
      <w:r w:rsidR="00C916A6">
        <w:t>sous le</w:t>
      </w:r>
      <w:r>
        <w:t xml:space="preserve"> gouvernemen</w:t>
      </w:r>
      <w:r w:rsidR="00C916A6">
        <w:t>t d’Evo Morales et l’Équateur sous le</w:t>
      </w:r>
      <w:r>
        <w:t xml:space="preserve"> gouvernement de Rafael </w:t>
      </w:r>
      <w:r>
        <w:lastRenderedPageBreak/>
        <w:t>Correa où la montée de certaines polarisations sociales non seulement entre la gauche et la droite mais aussi au sein de la gauche, depuis 2010, on</w:t>
      </w:r>
      <w:r w:rsidR="00C916A6">
        <w:t>t</w:t>
      </w:r>
      <w:r>
        <w:t xml:space="preserve"> généré une situation de blocage de la co-construction démocratique.</w:t>
      </w:r>
    </w:p>
    <w:p w14:paraId="52F4C053" w14:textId="77777777" w:rsidR="00BF1073" w:rsidRDefault="00BF1073" w:rsidP="00FA55A7"/>
    <w:p w14:paraId="128313E3" w14:textId="77777777" w:rsidR="00CC291C" w:rsidRDefault="00954919" w:rsidP="00954919">
      <w:r>
        <w:t xml:space="preserve">En terminant, nous </w:t>
      </w:r>
      <w:r w:rsidR="00AA5651">
        <w:t>souhait</w:t>
      </w:r>
      <w:r>
        <w:t>ons partage</w:t>
      </w:r>
      <w:r w:rsidR="007251D6">
        <w:t>r</w:t>
      </w:r>
      <w:r w:rsidR="002D2787">
        <w:t xml:space="preserve"> une dernière réflexion</w:t>
      </w:r>
      <w:r w:rsidR="007251D6">
        <w:t xml:space="preserve">. </w:t>
      </w:r>
      <w:r w:rsidR="004D7C6A">
        <w:t>À nos yeux,</w:t>
      </w:r>
      <w:r>
        <w:t xml:space="preserve"> la </w:t>
      </w:r>
      <w:r w:rsidR="00BF1073">
        <w:t>co-construction démocratique des politiques publiques est un idéal-type</w:t>
      </w:r>
      <w:r>
        <w:t xml:space="preserve"> qui ne peut jamais être atteint à 100%, tout en faisant appel à un dépassement constant</w:t>
      </w:r>
      <w:r w:rsidR="00BF1073">
        <w:t xml:space="preserve">. </w:t>
      </w:r>
      <w:r w:rsidR="007251D6">
        <w:t>C</w:t>
      </w:r>
      <w:r w:rsidR="00AA5651">
        <w:t xml:space="preserve">ette considération </w:t>
      </w:r>
      <w:r w:rsidR="007251D6">
        <w:t>doit être prise en compte</w:t>
      </w:r>
      <w:r w:rsidR="00AA5651">
        <w:t xml:space="preserve"> lorsque nous </w:t>
      </w:r>
      <w:r w:rsidR="004D7C6A">
        <w:t xml:space="preserve">cherchons à évaluer </w:t>
      </w:r>
      <w:r w:rsidR="00AA5651">
        <w:t>le caractère démocratique</w:t>
      </w:r>
      <w:r w:rsidR="00D84AC3">
        <w:t>,</w:t>
      </w:r>
      <w:r w:rsidR="00AA5651">
        <w:t xml:space="preserve"> toujours incomplet </w:t>
      </w:r>
      <w:r w:rsidR="00D84AC3">
        <w:t xml:space="preserve">et imparfait, </w:t>
      </w:r>
      <w:r w:rsidR="00AA5651">
        <w:t xml:space="preserve">des plus belles pratiques de co-construction démocratique auxquelles nous avons fait référence dans notre texte. </w:t>
      </w:r>
      <w:r w:rsidR="00187199">
        <w:t>Comment</w:t>
      </w:r>
      <w:r w:rsidR="0014662E">
        <w:t xml:space="preserve"> mettre la barre haute sur le plan des conditions théoriques à réunir pour qu’il y ait co-construction démocratique</w:t>
      </w:r>
      <w:r w:rsidR="004D7C6A">
        <w:t xml:space="preserve"> (voir section I)</w:t>
      </w:r>
      <w:r w:rsidR="0014662E">
        <w:t>, sans</w:t>
      </w:r>
      <w:r w:rsidR="00D84AC3">
        <w:t xml:space="preserve"> pour autant</w:t>
      </w:r>
      <w:r w:rsidR="0014662E">
        <w:t xml:space="preserve"> </w:t>
      </w:r>
      <w:r w:rsidR="00D84AC3">
        <w:t>tomber</w:t>
      </w:r>
      <w:r w:rsidR="0014662E">
        <w:t xml:space="preserve"> dans une analyse rigide des </w:t>
      </w:r>
      <w:r w:rsidR="00187199">
        <w:t>expériences concrè</w:t>
      </w:r>
      <w:r w:rsidR="0014662E">
        <w:t>t</w:t>
      </w:r>
      <w:r w:rsidR="00187199">
        <w:t>e</w:t>
      </w:r>
      <w:r w:rsidR="0014662E">
        <w:t>s</w:t>
      </w:r>
      <w:r w:rsidR="00B22623">
        <w:t>,</w:t>
      </w:r>
      <w:r w:rsidR="0014662E">
        <w:t xml:space="preserve"> </w:t>
      </w:r>
      <w:r w:rsidR="00187199">
        <w:t>ce qui</w:t>
      </w:r>
      <w:r w:rsidR="0014662E">
        <w:t>, en bout de ligne,</w:t>
      </w:r>
      <w:r w:rsidR="005D5EE7">
        <w:t xml:space="preserve"> </w:t>
      </w:r>
      <w:r w:rsidR="004D7C6A">
        <w:t>pourrait donner</w:t>
      </w:r>
      <w:r w:rsidR="005D5EE7">
        <w:t xml:space="preserve"> à penser que</w:t>
      </w:r>
      <w:r w:rsidR="00D52BB5">
        <w:t xml:space="preserve"> la co-construction dé</w:t>
      </w:r>
      <w:r w:rsidR="0014662E">
        <w:t>mocratique des politiques publiques</w:t>
      </w:r>
      <w:r w:rsidR="005D5EE7">
        <w:t>,</w:t>
      </w:r>
      <w:r w:rsidR="0014662E">
        <w:t xml:space="preserve"> avec participation des acteurs de l’ESS</w:t>
      </w:r>
      <w:r w:rsidR="005D5EE7">
        <w:t>,</w:t>
      </w:r>
      <w:r w:rsidR="0014662E">
        <w:t xml:space="preserve"> </w:t>
      </w:r>
      <w:r w:rsidR="005D5EE7">
        <w:t xml:space="preserve">n’existerait </w:t>
      </w:r>
      <w:r w:rsidR="004D7C6A">
        <w:t>tout simplement jamais</w:t>
      </w:r>
      <w:r w:rsidR="005D5EE7">
        <w:t xml:space="preserve"> ? </w:t>
      </w:r>
      <w:r w:rsidR="001C3FB5">
        <w:t>À ce compte</w:t>
      </w:r>
      <w:r w:rsidR="005D5EE7">
        <w:t>-là</w:t>
      </w:r>
      <w:r w:rsidR="001C3FB5">
        <w:t>, les plus beaux exemples</w:t>
      </w:r>
      <w:r w:rsidR="005D5EE7">
        <w:t xml:space="preserve"> </w:t>
      </w:r>
      <w:r w:rsidR="00B22623">
        <w:t>de politiques publiques</w:t>
      </w:r>
      <w:r w:rsidR="001C3FB5">
        <w:t xml:space="preserve"> démocratiquement co-construites</w:t>
      </w:r>
      <w:r w:rsidR="00B22623">
        <w:t xml:space="preserve"> au Québec et en ALC comme ceux que nous avons examinés dans les sections III et IV ne risqueraient-ils pas d’être perçus comme</w:t>
      </w:r>
      <w:r w:rsidR="004D7C6A">
        <w:t xml:space="preserve"> autant de cas</w:t>
      </w:r>
      <w:r w:rsidR="00B22623">
        <w:t xml:space="preserve"> douteux eu égard à leur caractère pleinement démocratique</w:t>
      </w:r>
      <w:r w:rsidR="005D5EE7">
        <w:t>?</w:t>
      </w:r>
      <w:r w:rsidR="00CC291C">
        <w:t xml:space="preserve"> </w:t>
      </w:r>
      <w:r w:rsidR="001C3FB5">
        <w:t xml:space="preserve"> </w:t>
      </w:r>
    </w:p>
    <w:p w14:paraId="499E95E0" w14:textId="77777777" w:rsidR="00CC291C" w:rsidRDefault="00CC291C" w:rsidP="00954919"/>
    <w:p w14:paraId="63E884DF" w14:textId="77777777" w:rsidR="00BF1073" w:rsidRDefault="00B72E05" w:rsidP="00954919">
      <w:r>
        <w:t xml:space="preserve">Ici, </w:t>
      </w:r>
      <w:r w:rsidR="00BF1073">
        <w:t xml:space="preserve"> </w:t>
      </w:r>
      <w:r w:rsidR="00CC291C">
        <w:t xml:space="preserve">notre réflexion </w:t>
      </w:r>
      <w:r w:rsidR="00B22623">
        <w:t>rejoint celle</w:t>
      </w:r>
      <w:r w:rsidR="00BF1073">
        <w:t xml:space="preserve"> </w:t>
      </w:r>
      <w:r w:rsidR="00225732">
        <w:t>de</w:t>
      </w:r>
      <w:r w:rsidR="00BF1073">
        <w:t xml:space="preserve"> </w:t>
      </w:r>
      <w:r w:rsidR="00BF1073" w:rsidRPr="0032341F">
        <w:t>Chaves</w:t>
      </w:r>
      <w:r w:rsidR="00BF1073" w:rsidRPr="00A00834">
        <w:t xml:space="preserve"> Teixeira</w:t>
      </w:r>
      <w:r w:rsidR="00BF1073">
        <w:t xml:space="preserve"> et Albuquerque Carvalho</w:t>
      </w:r>
      <w:r>
        <w:t xml:space="preserve"> au sujet des budgets participatifs brésiliens</w:t>
      </w:r>
      <w:r w:rsidR="00AF33D3">
        <w:t>. A</w:t>
      </w:r>
      <w:r w:rsidR="00B235AB">
        <w:t>u terme de leur</w:t>
      </w:r>
      <w:r w:rsidR="002B1784">
        <w:t>s</w:t>
      </w:r>
      <w:r w:rsidR="00B235AB">
        <w:t xml:space="preserve"> étude</w:t>
      </w:r>
      <w:r w:rsidR="002B1784">
        <w:t>s</w:t>
      </w:r>
      <w:r w:rsidR="00B235AB">
        <w:t xml:space="preserve"> de cas, </w:t>
      </w:r>
      <w:r w:rsidR="00AF33D3">
        <w:t>c</w:t>
      </w:r>
      <w:r w:rsidR="00C5729A">
        <w:t xml:space="preserve">es </w:t>
      </w:r>
      <w:r w:rsidR="00AF33D3">
        <w:t xml:space="preserve">deux chercheuses, </w:t>
      </w:r>
      <w:r w:rsidR="00C5729A">
        <w:t>tout comme nous, savent</w:t>
      </w:r>
      <w:r w:rsidR="00B22623">
        <w:t xml:space="preserve"> très bien</w:t>
      </w:r>
      <w:r w:rsidR="00C5729A">
        <w:t xml:space="preserve"> que les expériences de budgets participatifs les plus réussies </w:t>
      </w:r>
      <w:r w:rsidR="0088728D">
        <w:t xml:space="preserve">contiennent plusieurs </w:t>
      </w:r>
      <w:r w:rsidR="00DF00B9">
        <w:t>lacun</w:t>
      </w:r>
      <w:r w:rsidR="00C5729A">
        <w:t xml:space="preserve">es </w:t>
      </w:r>
      <w:r>
        <w:t>eu égard à l’atteinte de l’</w:t>
      </w:r>
      <w:r w:rsidR="00AF33D3">
        <w:t>idéal exigeant</w:t>
      </w:r>
      <w:r>
        <w:t xml:space="preserve"> d’un budget pleinement et parfaitement participatif</w:t>
      </w:r>
      <w:r w:rsidR="00C5729A">
        <w:t xml:space="preserve">. </w:t>
      </w:r>
      <w:r w:rsidR="00AF33D3">
        <w:t xml:space="preserve">Néanmoins, </w:t>
      </w:r>
      <w:r w:rsidR="00B22623">
        <w:t>à leurs yeux</w:t>
      </w:r>
      <w:r w:rsidR="00C5729A">
        <w:t xml:space="preserve">, </w:t>
      </w:r>
      <w:r w:rsidR="00B22623">
        <w:t>il n’y a pas lieu de</w:t>
      </w:r>
      <w:r w:rsidR="00AF33D3">
        <w:t xml:space="preserve"> </w:t>
      </w:r>
      <w:r>
        <w:t>vers</w:t>
      </w:r>
      <w:r w:rsidR="00AF33D3">
        <w:t>er dans la désillusion et le</w:t>
      </w:r>
      <w:r w:rsidR="00C5729A">
        <w:t xml:space="preserve"> cynisme</w:t>
      </w:r>
      <w:r w:rsidR="002B1784">
        <w:t>, mais plutôt</w:t>
      </w:r>
      <w:r w:rsidR="00C14C59">
        <w:t xml:space="preserve"> de faire une mise en garde</w:t>
      </w:r>
      <w:r w:rsidR="00BF1073" w:rsidRPr="00A00834">
        <w:t> :</w:t>
      </w:r>
      <w:r w:rsidR="00AF33D3">
        <w:t xml:space="preserve"> « Finalement, nous aimerions mentionner qu’un objectif essentiel de notre étude fut de d</w:t>
      </w:r>
      <w:r w:rsidR="00B235AB">
        <w:t xml:space="preserve">ésarmer les visions simplistes, </w:t>
      </w:r>
      <w:r w:rsidR="00AF33D3">
        <w:t>exclusives</w:t>
      </w:r>
      <w:r w:rsidR="00B235AB">
        <w:t>, et d’éviter les attentes et </w:t>
      </w:r>
      <w:r w:rsidR="00D72FC4">
        <w:t>paris exagéré</w:t>
      </w:r>
      <w:r w:rsidR="00B235AB">
        <w:t>s</w:t>
      </w:r>
      <w:r w:rsidR="00AF33D3">
        <w:t xml:space="preserve"> qui conduisent</w:t>
      </w:r>
      <w:r w:rsidR="00B235AB">
        <w:t xml:space="preserve"> aux désillusions, au rejet et </w:t>
      </w:r>
      <w:r w:rsidR="007D2E96">
        <w:t xml:space="preserve">au découragement </w:t>
      </w:r>
      <w:r w:rsidR="00B235AB">
        <w:t>devant</w:t>
      </w:r>
      <w:r w:rsidR="007D2E96">
        <w:t xml:space="preserve"> les expérimentations</w:t>
      </w:r>
      <w:r w:rsidR="00B235AB">
        <w:t xml:space="preserve"> en </w:t>
      </w:r>
      <w:r w:rsidR="007D2E96">
        <w:t>tant que telles »</w:t>
      </w:r>
      <w:r w:rsidR="00A775DE">
        <w:t xml:space="preserve"> (</w:t>
      </w:r>
      <w:r w:rsidR="00A775DE" w:rsidRPr="00A00834">
        <w:t>2006 :240)</w:t>
      </w:r>
      <w:r w:rsidR="00A775DE">
        <w:t>. Transposées à notre thématique de la co-construction</w:t>
      </w:r>
      <w:r w:rsidR="007D2E96">
        <w:t xml:space="preserve"> </w:t>
      </w:r>
      <w:r w:rsidR="00B235AB">
        <w:t xml:space="preserve">démocratique, </w:t>
      </w:r>
      <w:r w:rsidR="00AB0E4C">
        <w:t>ces remarques</w:t>
      </w:r>
      <w:r w:rsidR="00B235AB">
        <w:t xml:space="preserve"> </w:t>
      </w:r>
      <w:r w:rsidR="00AB0E4C">
        <w:t xml:space="preserve">nous invitent à nous prémunir </w:t>
      </w:r>
      <w:r w:rsidR="00CA5EEB">
        <w:t xml:space="preserve">des « attentes </w:t>
      </w:r>
      <w:r w:rsidR="00BF1073" w:rsidRPr="00A00834">
        <w:t>exagérées</w:t>
      </w:r>
      <w:r w:rsidR="00CA5EEB">
        <w:t xml:space="preserve"> » </w:t>
      </w:r>
      <w:r w:rsidR="00AB0E4C">
        <w:t>à l’effet qu’il serait</w:t>
      </w:r>
      <w:r w:rsidR="00CA5EEB">
        <w:t xml:space="preserve"> </w:t>
      </w:r>
      <w:r w:rsidR="00BF1073" w:rsidRPr="003E0340">
        <w:t xml:space="preserve">possible </w:t>
      </w:r>
      <w:r w:rsidR="0088728D" w:rsidRPr="003E0340">
        <w:t xml:space="preserve">de mettre en place une </w:t>
      </w:r>
      <w:r w:rsidR="00BF1073" w:rsidRPr="003E0340">
        <w:t>co-construction</w:t>
      </w:r>
      <w:r w:rsidR="00BF1073">
        <w:t xml:space="preserve"> totalement démocratique</w:t>
      </w:r>
      <w:r w:rsidR="00AB0E4C">
        <w:t>,</w:t>
      </w:r>
      <w:r w:rsidR="00BF1073" w:rsidRPr="00A00834">
        <w:t xml:space="preserve"> à tout moment</w:t>
      </w:r>
      <w:r w:rsidR="00AB0E4C">
        <w:t>,</w:t>
      </w:r>
      <w:r w:rsidR="00BF1073" w:rsidRPr="00A00834">
        <w:t xml:space="preserve"> dans </w:t>
      </w:r>
      <w:r w:rsidR="00CA5EEB">
        <w:t>tous les dossiers de politiques</w:t>
      </w:r>
      <w:r w:rsidR="00B235AB">
        <w:t xml:space="preserve"> publiques</w:t>
      </w:r>
      <w:r w:rsidR="00BF1073" w:rsidRPr="00A00834">
        <w:t xml:space="preserve">. </w:t>
      </w:r>
      <w:r w:rsidR="00AB0E4C">
        <w:t>Appréciée à l’aune d’un idéal-type, la co-construction démocratique demeure toujours incomplète et inachevée. Comme le dit Avritzer (</w:t>
      </w:r>
      <w:r w:rsidR="00AB0E4C" w:rsidRPr="00A00834">
        <w:t>2002 :193)</w:t>
      </w:r>
      <w:r w:rsidR="00AB0E4C">
        <w:t xml:space="preserve">, cet autre sociologue brésilien dont les écrits nous ont inspiré, on peut s’en </w:t>
      </w:r>
      <w:r w:rsidR="00BF1073" w:rsidRPr="00A00834">
        <w:t>rapprocher</w:t>
      </w:r>
      <w:r w:rsidR="00AB0E4C">
        <w:t>,</w:t>
      </w:r>
      <w:r w:rsidR="00BF1073" w:rsidRPr="00A00834">
        <w:t xml:space="preserve"> de temps en temps, « </w:t>
      </w:r>
      <w:r w:rsidR="00D84972">
        <w:t>à un degré plus ou moins grand</w:t>
      </w:r>
      <w:r w:rsidR="000144CE">
        <w:t>»</w:t>
      </w:r>
      <w:r w:rsidR="00BF1073" w:rsidRPr="00A00834">
        <w:t xml:space="preserve">. </w:t>
      </w:r>
    </w:p>
    <w:p w14:paraId="6A3E3853" w14:textId="77777777" w:rsidR="00BF1073" w:rsidRPr="00530CF4" w:rsidRDefault="00BF1073" w:rsidP="00FA55A7"/>
    <w:p w14:paraId="7003B5C5" w14:textId="77777777" w:rsidR="00B801C1" w:rsidRDefault="00B801C1">
      <w:pPr>
        <w:rPr>
          <w:b/>
        </w:rPr>
      </w:pPr>
      <w:r>
        <w:rPr>
          <w:b/>
        </w:rPr>
        <w:br w:type="page"/>
      </w:r>
    </w:p>
    <w:p w14:paraId="59613CCD" w14:textId="77777777" w:rsidR="009A57F9" w:rsidRDefault="009A57F9" w:rsidP="008128CD">
      <w:pPr>
        <w:rPr>
          <w:b/>
        </w:rPr>
      </w:pPr>
    </w:p>
    <w:p w14:paraId="02667698" w14:textId="77777777" w:rsidR="00DB5F9B" w:rsidRPr="00620D65" w:rsidRDefault="00DB5F9B" w:rsidP="00620D65">
      <w:pPr>
        <w:pStyle w:val="Titre1"/>
        <w:rPr>
          <w:color w:val="auto"/>
          <w:lang w:val="en-CA"/>
        </w:rPr>
      </w:pPr>
      <w:bookmarkStart w:id="22" w:name="_Toc405129038"/>
      <w:r w:rsidRPr="00620D65">
        <w:rPr>
          <w:color w:val="auto"/>
          <w:lang w:val="en-CA"/>
        </w:rPr>
        <w:t>BIBLIOGRAPHIE</w:t>
      </w:r>
      <w:bookmarkEnd w:id="22"/>
    </w:p>
    <w:p w14:paraId="2FE04AD6" w14:textId="77777777" w:rsidR="008128CD" w:rsidRDefault="008128CD" w:rsidP="008128CD">
      <w:pPr>
        <w:rPr>
          <w:lang w:val="en-CA"/>
        </w:rPr>
      </w:pPr>
      <w:r w:rsidRPr="00DB2ED1">
        <w:rPr>
          <w:lang w:val="en-CA"/>
        </w:rPr>
        <w:t xml:space="preserve">Ackerman, John M. (2012). « From Co-Production to Co-Governance », dans </w:t>
      </w:r>
      <w:r w:rsidRPr="00CB381B">
        <w:rPr>
          <w:lang w:val="en-CA"/>
        </w:rPr>
        <w:t xml:space="preserve">Pestoff, Victor, Brandsen, Taco &amp; Bram Verschuere (2012). </w:t>
      </w:r>
      <w:r w:rsidRPr="00CB381B">
        <w:rPr>
          <w:i/>
          <w:lang w:val="en-CA"/>
        </w:rPr>
        <w:t>New Public Governance, the Third Sector and Co-Production</w:t>
      </w:r>
      <w:r w:rsidRPr="00CB381B">
        <w:rPr>
          <w:lang w:val="en-CA"/>
        </w:rPr>
        <w:t>, New</w:t>
      </w:r>
      <w:r>
        <w:rPr>
          <w:lang w:val="en-CA"/>
        </w:rPr>
        <w:t xml:space="preserve"> York &amp; Abingdon, UK, Routledge, 101-126.</w:t>
      </w:r>
    </w:p>
    <w:p w14:paraId="4AA3AE43" w14:textId="77777777" w:rsidR="0019577F" w:rsidRDefault="0019577F" w:rsidP="008128CD">
      <w:pPr>
        <w:rPr>
          <w:lang w:val="en-CA"/>
        </w:rPr>
      </w:pPr>
    </w:p>
    <w:p w14:paraId="04612BDE" w14:textId="77777777" w:rsidR="0019577F" w:rsidRDefault="0019577F" w:rsidP="0019577F">
      <w:pPr>
        <w:rPr>
          <w:lang w:val="fr-FR"/>
        </w:rPr>
      </w:pPr>
      <w:r>
        <w:rPr>
          <w:lang w:val="fr-FR"/>
        </w:rPr>
        <w:t xml:space="preserve">Ackerman, John M. (2014a). « TLCAN y EZLN: veinte años », </w:t>
      </w:r>
      <w:r>
        <w:rPr>
          <w:i/>
          <w:lang w:val="fr-FR"/>
        </w:rPr>
        <w:t xml:space="preserve"> La Jornada</w:t>
      </w:r>
      <w:r>
        <w:rPr>
          <w:lang w:val="fr-FR"/>
        </w:rPr>
        <w:t>, 6 janvier 2014.</w:t>
      </w:r>
    </w:p>
    <w:p w14:paraId="1EDC89DD" w14:textId="77777777" w:rsidR="001B4588" w:rsidRPr="001B4588" w:rsidRDefault="001B4588" w:rsidP="005B02BD"/>
    <w:p w14:paraId="0DA1AF31" w14:textId="77777777" w:rsidR="00E37E47" w:rsidRDefault="002F6D63" w:rsidP="005D18E2">
      <w:r>
        <w:t>Ackerman, John M. (2014</w:t>
      </w:r>
      <w:r w:rsidR="0019577F">
        <w:t>b</w:t>
      </w:r>
      <w:r>
        <w:t>). « </w:t>
      </w:r>
      <w:r w:rsidRPr="002F6D63">
        <w:t>Némesis opositora</w:t>
      </w:r>
      <w:r>
        <w:t xml:space="preserve"> », </w:t>
      </w:r>
      <w:r>
        <w:rPr>
          <w:i/>
        </w:rPr>
        <w:t>La Jornada</w:t>
      </w:r>
      <w:r>
        <w:t>, 28 avril 2014.</w:t>
      </w:r>
    </w:p>
    <w:p w14:paraId="0ECA9E5B" w14:textId="77777777" w:rsidR="00BC507D" w:rsidRDefault="00BC507D" w:rsidP="005D18E2"/>
    <w:p w14:paraId="0E29BB57" w14:textId="77777777" w:rsidR="00BC507D" w:rsidRPr="00DB2ED1" w:rsidRDefault="008A7C16" w:rsidP="005D18E2">
      <w:pPr>
        <w:rPr>
          <w:lang w:val="en-CA"/>
        </w:rPr>
      </w:pPr>
      <w:r w:rsidRPr="00DB2ED1">
        <w:rPr>
          <w:lang w:val="en-CA"/>
        </w:rPr>
        <w:t>Ackerman, John M. (2014</w:t>
      </w:r>
      <w:r w:rsidR="0019577F" w:rsidRPr="00DB2ED1">
        <w:rPr>
          <w:lang w:val="en-CA"/>
        </w:rPr>
        <w:t>c</w:t>
      </w:r>
      <w:r w:rsidR="00BC507D" w:rsidRPr="00DB2ED1">
        <w:rPr>
          <w:lang w:val="en-CA"/>
        </w:rPr>
        <w:t xml:space="preserve">). « Gobierno sordo, pueblo indignado », </w:t>
      </w:r>
      <w:r w:rsidR="00BC507D" w:rsidRPr="00DB2ED1">
        <w:rPr>
          <w:i/>
          <w:lang w:val="en-CA"/>
        </w:rPr>
        <w:t>La Jornada</w:t>
      </w:r>
      <w:r w:rsidR="00BC507D" w:rsidRPr="00DB2ED1">
        <w:rPr>
          <w:lang w:val="en-CA"/>
        </w:rPr>
        <w:t>, 12 mai 2014.</w:t>
      </w:r>
    </w:p>
    <w:p w14:paraId="7204A782" w14:textId="77777777" w:rsidR="003D5C92" w:rsidRPr="00DB2ED1" w:rsidRDefault="003D5C92" w:rsidP="005D18E2">
      <w:pPr>
        <w:rPr>
          <w:lang w:val="en-CA"/>
        </w:rPr>
      </w:pPr>
    </w:p>
    <w:p w14:paraId="379B1B31" w14:textId="77777777" w:rsidR="003D5C92" w:rsidRDefault="003D5C92" w:rsidP="003D5C92">
      <w:r w:rsidRPr="00DB2ED1">
        <w:rPr>
          <w:lang w:val="en-CA"/>
        </w:rPr>
        <w:t xml:space="preserve">Ackerman, John M. (2014d). </w:t>
      </w:r>
      <w:r>
        <w:t>« Le Mexique privatise son pétrole »</w:t>
      </w:r>
      <w:r>
        <w:rPr>
          <w:i/>
        </w:rPr>
        <w:t>, Le Monde diplomatique</w:t>
      </w:r>
      <w:r>
        <w:t xml:space="preserve">, mars 2014. </w:t>
      </w:r>
    </w:p>
    <w:p w14:paraId="546EEF1B" w14:textId="77777777" w:rsidR="00E14A34" w:rsidRDefault="00E14A34" w:rsidP="003D5C92"/>
    <w:p w14:paraId="3ED7C383" w14:textId="77777777" w:rsidR="00E14A34" w:rsidRPr="00E14A34" w:rsidRDefault="00E14A34" w:rsidP="003D5C92">
      <w:r>
        <w:rPr>
          <w:lang w:val="en-CA"/>
        </w:rPr>
        <w:t>Ackerman, John M. (2014e</w:t>
      </w:r>
      <w:r w:rsidRPr="00DB2ED1">
        <w:rPr>
          <w:lang w:val="en-CA"/>
        </w:rPr>
        <w:t xml:space="preserve">). </w:t>
      </w:r>
      <w:r>
        <w:rPr>
          <w:lang w:val="en-CA"/>
        </w:rPr>
        <w:t>“</w:t>
      </w:r>
      <w:r w:rsidRPr="00E14A34">
        <w:rPr>
          <w:lang w:val="fr-FR"/>
        </w:rPr>
        <w:t xml:space="preserve">Después de </w:t>
      </w:r>
      <w:r w:rsidRPr="00E14A34">
        <w:t>Peña</w:t>
      </w:r>
      <w:r>
        <w:t xml:space="preserve"> », </w:t>
      </w:r>
      <w:r>
        <w:rPr>
          <w:i/>
        </w:rPr>
        <w:t>La Jornada</w:t>
      </w:r>
      <w:r>
        <w:t>, 10 novembre 2014.</w:t>
      </w:r>
    </w:p>
    <w:p w14:paraId="76745739" w14:textId="77777777" w:rsidR="00536E4A" w:rsidRDefault="00536E4A" w:rsidP="003D5C92"/>
    <w:p w14:paraId="68430F5B" w14:textId="77777777" w:rsidR="00536E4A" w:rsidRPr="00955272" w:rsidRDefault="00E14A34" w:rsidP="003D5C92">
      <w:r>
        <w:rPr>
          <w:lang w:val="en-CA"/>
        </w:rPr>
        <w:t>Ackerman, John M. (2014f</w:t>
      </w:r>
      <w:r w:rsidR="00536E4A" w:rsidRPr="00DB2ED1">
        <w:rPr>
          <w:lang w:val="en-CA"/>
        </w:rPr>
        <w:t xml:space="preserve">). </w:t>
      </w:r>
      <w:r w:rsidR="00536E4A">
        <w:t>«El bienio de</w:t>
      </w:r>
      <w:r w:rsidR="00F15364">
        <w:t xml:space="preserve"> </w:t>
      </w:r>
      <w:r w:rsidR="00F15364" w:rsidRPr="00887C9C">
        <w:t>Peña</w:t>
      </w:r>
      <w:r w:rsidR="00536E4A">
        <w:t xml:space="preserve"> », </w:t>
      </w:r>
      <w:r w:rsidR="00536E4A">
        <w:rPr>
          <w:i/>
        </w:rPr>
        <w:t>La Jornada</w:t>
      </w:r>
      <w:r w:rsidR="00536E4A">
        <w:t>, 24 novembre 2014. </w:t>
      </w:r>
    </w:p>
    <w:p w14:paraId="6FB0F464" w14:textId="77777777" w:rsidR="00FD5DEC" w:rsidRDefault="00FD5DEC" w:rsidP="005D18E2"/>
    <w:p w14:paraId="729C9477" w14:textId="77777777" w:rsidR="00FD5DEC" w:rsidRPr="00DB2ED1" w:rsidRDefault="00FD5DEC" w:rsidP="005D18E2">
      <w:pPr>
        <w:rPr>
          <w:lang w:val="en-CA"/>
        </w:rPr>
      </w:pPr>
      <w:r w:rsidRPr="00DB2ED1">
        <w:rPr>
          <w:lang w:val="en-CA"/>
        </w:rPr>
        <w:t>Acosta, Alberto (2010). « Cualquier restricci</w:t>
      </w:r>
      <w:r w:rsidR="00A2423E" w:rsidRPr="00DB2ED1">
        <w:rPr>
          <w:lang w:val="en-CA"/>
        </w:rPr>
        <w:t>ó</w:t>
      </w:r>
      <w:r w:rsidRPr="00DB2ED1">
        <w:rPr>
          <w:lang w:val="en-CA"/>
        </w:rPr>
        <w:t>n</w:t>
      </w:r>
      <w:r w:rsidR="00A2423E" w:rsidRPr="00DB2ED1">
        <w:rPr>
          <w:lang w:val="en-CA"/>
        </w:rPr>
        <w:t xml:space="preserve"> a la crí</w:t>
      </w:r>
      <w:r w:rsidRPr="00DB2ED1">
        <w:rPr>
          <w:lang w:val="en-CA"/>
        </w:rPr>
        <w:t>tica</w:t>
      </w:r>
      <w:r w:rsidR="00037FA1" w:rsidRPr="00DB2ED1">
        <w:rPr>
          <w:lang w:val="en-CA"/>
        </w:rPr>
        <w:t xml:space="preserve"> es el fin del debate pú</w:t>
      </w:r>
      <w:r w:rsidRPr="00DB2ED1">
        <w:rPr>
          <w:lang w:val="en-CA"/>
        </w:rPr>
        <w:t xml:space="preserve">blico », </w:t>
      </w:r>
      <w:r w:rsidRPr="00DB2ED1">
        <w:rPr>
          <w:i/>
          <w:lang w:val="en-CA"/>
        </w:rPr>
        <w:t>Rebeli</w:t>
      </w:r>
      <w:r w:rsidR="00A055F3" w:rsidRPr="00DB2ED1">
        <w:rPr>
          <w:i/>
          <w:lang w:val="en-CA"/>
        </w:rPr>
        <w:t>ó</w:t>
      </w:r>
      <w:r w:rsidRPr="00DB2ED1">
        <w:rPr>
          <w:i/>
          <w:lang w:val="en-CA"/>
        </w:rPr>
        <w:t>n</w:t>
      </w:r>
      <w:r w:rsidRPr="00DB2ED1">
        <w:rPr>
          <w:lang w:val="en-CA"/>
        </w:rPr>
        <w:t xml:space="preserve">, 15 novembre 2010. </w:t>
      </w:r>
    </w:p>
    <w:p w14:paraId="7BF8880C" w14:textId="77777777" w:rsidR="00E91AFA" w:rsidRPr="00DB2ED1" w:rsidRDefault="00E91AFA" w:rsidP="005D18E2">
      <w:pPr>
        <w:rPr>
          <w:lang w:val="en-CA"/>
        </w:rPr>
      </w:pPr>
    </w:p>
    <w:p w14:paraId="08882714" w14:textId="77777777" w:rsidR="00E91AFA" w:rsidRPr="00DB2ED1" w:rsidRDefault="00E91AFA" w:rsidP="00E91AFA">
      <w:pPr>
        <w:rPr>
          <w:lang w:val="en-CA"/>
        </w:rPr>
      </w:pPr>
      <w:r w:rsidRPr="00DB2ED1">
        <w:rPr>
          <w:lang w:val="en-CA"/>
        </w:rPr>
        <w:t xml:space="preserve">Acosta, Alberto (2013). « Why Ecuador’s president has failed the country over Yasuni-ITT », </w:t>
      </w:r>
      <w:r w:rsidRPr="00DB2ED1">
        <w:rPr>
          <w:i/>
          <w:lang w:val="en-CA"/>
        </w:rPr>
        <w:t>The Guardian</w:t>
      </w:r>
      <w:r w:rsidRPr="00DB2ED1">
        <w:rPr>
          <w:lang w:val="en-CA"/>
        </w:rPr>
        <w:t xml:space="preserve">, 4 septembre 2013. </w:t>
      </w:r>
    </w:p>
    <w:p w14:paraId="6A4FE156" w14:textId="77777777" w:rsidR="00E91AFA" w:rsidRPr="00DB2ED1" w:rsidRDefault="00E91AFA" w:rsidP="00E91AFA">
      <w:pPr>
        <w:rPr>
          <w:lang w:val="en-CA"/>
        </w:rPr>
      </w:pPr>
    </w:p>
    <w:p w14:paraId="15848D7E" w14:textId="77777777" w:rsidR="00E91AFA" w:rsidRDefault="00E91AFA" w:rsidP="00E91AFA">
      <w:r>
        <w:t>Acosta, A. et D. Mach</w:t>
      </w:r>
      <w:r w:rsidR="00A055F3">
        <w:t xml:space="preserve">ado (2012). « Movimientos </w:t>
      </w:r>
      <w:r w:rsidR="00A055F3" w:rsidRPr="007366D4">
        <w:t>compro</w:t>
      </w:r>
      <w:r w:rsidRPr="007366D4">
        <w:t>metidos</w:t>
      </w:r>
      <w:r>
        <w:t xml:space="preserve"> con la vida. </w:t>
      </w:r>
      <w:r w:rsidRPr="005738A8">
        <w:t>Ambientalismos y conflictos actuales en América Latina</w:t>
      </w:r>
      <w:r>
        <w:t> », 29 septembre 2012.</w:t>
      </w:r>
    </w:p>
    <w:p w14:paraId="1934C7CF" w14:textId="77777777" w:rsidR="00E91AFA" w:rsidRDefault="00E91AFA" w:rsidP="00E91AFA"/>
    <w:p w14:paraId="18E20A0C" w14:textId="77777777" w:rsidR="00E91AFA" w:rsidRDefault="00E91AFA" w:rsidP="00E91AFA">
      <w:pPr>
        <w:rPr>
          <w:lang w:val="fr-FR"/>
        </w:rPr>
      </w:pPr>
      <w:r>
        <w:t xml:space="preserve">Acosta, Alberto, </w:t>
      </w:r>
      <w:r>
        <w:rPr>
          <w:lang w:val="fr-FR"/>
        </w:rPr>
        <w:t>Juan Cuvi, Edgar Isch, Decio Machado, Esperanza Martínez, Francisco</w:t>
      </w:r>
    </w:p>
    <w:p w14:paraId="32A82A87" w14:textId="77777777" w:rsidR="00E91AFA" w:rsidRPr="0050186A" w:rsidRDefault="00E91AFA" w:rsidP="00E91AFA">
      <w:r>
        <w:rPr>
          <w:lang w:val="fr-FR"/>
        </w:rPr>
        <w:t xml:space="preserve">Muñoz, Darwin Seraquive et María Fernanda Solíz (2013). </w:t>
      </w:r>
      <w:r w:rsidR="00A055F3">
        <w:rPr>
          <w:i/>
          <w:lang w:val="fr-FR"/>
        </w:rPr>
        <w:t xml:space="preserve">El </w:t>
      </w:r>
      <w:r w:rsidR="00A055F3" w:rsidRPr="007366D4">
        <w:rPr>
          <w:i/>
          <w:lang w:val="fr-FR"/>
        </w:rPr>
        <w:t>País</w:t>
      </w:r>
      <w:r w:rsidR="00A055F3">
        <w:rPr>
          <w:i/>
          <w:lang w:val="fr-FR"/>
        </w:rPr>
        <w:t xml:space="preserve"> que </w:t>
      </w:r>
      <w:r w:rsidR="00A055F3" w:rsidRPr="007366D4">
        <w:rPr>
          <w:i/>
          <w:lang w:val="fr-FR"/>
        </w:rPr>
        <w:t>Querí</w:t>
      </w:r>
      <w:r w:rsidRPr="007366D4">
        <w:rPr>
          <w:i/>
          <w:lang w:val="fr-FR"/>
        </w:rPr>
        <w:t>amos</w:t>
      </w:r>
      <w:r w:rsidRPr="007366D4">
        <w:rPr>
          <w:lang w:val="fr-FR"/>
        </w:rPr>
        <w:t>,</w:t>
      </w:r>
      <w:r>
        <w:rPr>
          <w:lang w:val="fr-FR"/>
        </w:rPr>
        <w:t xml:space="preserve"> Quito, Montecristi que vive, 272 p. </w:t>
      </w:r>
    </w:p>
    <w:p w14:paraId="78745169" w14:textId="77777777" w:rsidR="00E37E47" w:rsidRDefault="00E37E47" w:rsidP="005D18E2"/>
    <w:p w14:paraId="21641737" w14:textId="77777777" w:rsidR="00985A5D" w:rsidRDefault="00985A5D" w:rsidP="00985A5D">
      <w:r>
        <w:t>Almeyra, Guillermo (2013</w:t>
      </w:r>
      <w:r w:rsidR="00A055F3">
        <w:t xml:space="preserve">a). « Los gobiernos de AL </w:t>
      </w:r>
      <w:r w:rsidR="00A055F3" w:rsidRPr="007366D4">
        <w:t>despué</w:t>
      </w:r>
      <w:r w:rsidRPr="007366D4">
        <w:t>s</w:t>
      </w:r>
      <w:r>
        <w:t xml:space="preserve"> de Chavez », </w:t>
      </w:r>
      <w:r>
        <w:rPr>
          <w:i/>
        </w:rPr>
        <w:t>La Jornada</w:t>
      </w:r>
      <w:r>
        <w:t xml:space="preserve">, 5 mai 2013. </w:t>
      </w:r>
    </w:p>
    <w:p w14:paraId="17DB6C61" w14:textId="77777777" w:rsidR="00985A5D" w:rsidRDefault="00985A5D" w:rsidP="005D18E2"/>
    <w:p w14:paraId="57D97F15" w14:textId="77777777" w:rsidR="002F6D63" w:rsidRDefault="00E37E47" w:rsidP="005D18E2">
      <w:r>
        <w:t>Almeyra, Guillermo (2013</w:t>
      </w:r>
      <w:r w:rsidR="00985A5D">
        <w:t>b</w:t>
      </w:r>
      <w:r w:rsidR="00A055F3">
        <w:t xml:space="preserve">). « México a 20 </w:t>
      </w:r>
      <w:r w:rsidR="00A055F3" w:rsidRPr="007366D4">
        <w:t>añ</w:t>
      </w:r>
      <w:r w:rsidRPr="007366D4">
        <w:t>os</w:t>
      </w:r>
      <w:r>
        <w:t xml:space="preserve"> de la</w:t>
      </w:r>
      <w:r w:rsidR="00BC07DB">
        <w:t xml:space="preserve"> </w:t>
      </w:r>
      <w:r w:rsidR="00BC07DB" w:rsidRPr="007366D4">
        <w:t>Reb</w:t>
      </w:r>
      <w:r w:rsidR="00A055F3" w:rsidRPr="007366D4">
        <w:t>elió</w:t>
      </w:r>
      <w:r w:rsidRPr="007366D4">
        <w:t>n</w:t>
      </w:r>
      <w:r>
        <w:t xml:space="preserve"> zapatista en Chiapas », </w:t>
      </w:r>
      <w:r>
        <w:rPr>
          <w:i/>
        </w:rPr>
        <w:t>La Jornada</w:t>
      </w:r>
      <w:r>
        <w:t>, 29 décembre 2013.</w:t>
      </w:r>
      <w:r w:rsidR="002F6D63">
        <w:t xml:space="preserve"> </w:t>
      </w:r>
    </w:p>
    <w:p w14:paraId="4DED2B29" w14:textId="77777777" w:rsidR="00A93889" w:rsidRDefault="00A93889" w:rsidP="005D18E2"/>
    <w:p w14:paraId="1E9D9844" w14:textId="77777777" w:rsidR="00A93889" w:rsidRPr="00A93889" w:rsidRDefault="00A93889" w:rsidP="005D18E2">
      <w:r>
        <w:t xml:space="preserve">Almeyra, Guillermo (2014). « Tlltlaya, Ayotzinapa : el asesino es el sistema y su gobierno », </w:t>
      </w:r>
      <w:r>
        <w:rPr>
          <w:i/>
        </w:rPr>
        <w:t>La Jornada</w:t>
      </w:r>
      <w:r>
        <w:t xml:space="preserve">, 12 octobre 2014. </w:t>
      </w:r>
    </w:p>
    <w:p w14:paraId="1EE73069" w14:textId="77777777" w:rsidR="002652FE" w:rsidRDefault="002652FE" w:rsidP="005D18E2"/>
    <w:p w14:paraId="2638FF77" w14:textId="77777777" w:rsidR="002652FE" w:rsidRDefault="002652FE" w:rsidP="002652FE">
      <w:r>
        <w:t xml:space="preserve">ANDES (2010). </w:t>
      </w:r>
      <w:r w:rsidRPr="00E745FD">
        <w:t xml:space="preserve">« Moncayo : Todos debemos hacer un mea culpa » para salir del empantanamiento », </w:t>
      </w:r>
      <w:r w:rsidRPr="0022731F">
        <w:rPr>
          <w:i/>
        </w:rPr>
        <w:t>ANDES</w:t>
      </w:r>
      <w:r>
        <w:t xml:space="preserve">, 29 juillet 2010, </w:t>
      </w:r>
      <w:r w:rsidRPr="00E745FD">
        <w:t xml:space="preserve">3 p. </w:t>
      </w:r>
    </w:p>
    <w:p w14:paraId="73AD5178" w14:textId="77777777" w:rsidR="00771B8A" w:rsidRDefault="00771B8A" w:rsidP="005D18E2"/>
    <w:p w14:paraId="5B1B4F3F" w14:textId="77777777" w:rsidR="00771B8A" w:rsidRDefault="00771B8A" w:rsidP="005D18E2">
      <w:r>
        <w:lastRenderedPageBreak/>
        <w:t xml:space="preserve">Annunziata, Rocio (2013). « Democratizar la ciudad. Los presupuestos participativos en Rosario y Moron », </w:t>
      </w:r>
      <w:r>
        <w:rPr>
          <w:i/>
        </w:rPr>
        <w:t>Nueva Sociedad</w:t>
      </w:r>
      <w:r>
        <w:t xml:space="preserve">, no 243, </w:t>
      </w:r>
      <w:r w:rsidR="007366D4">
        <w:t>janvier-février</w:t>
      </w:r>
      <w:r>
        <w:t xml:space="preserve">, 119-130. </w:t>
      </w:r>
    </w:p>
    <w:p w14:paraId="41BBF808" w14:textId="77777777" w:rsidR="008128CD" w:rsidRDefault="008128CD" w:rsidP="005D18E2"/>
    <w:p w14:paraId="63272412" w14:textId="77777777" w:rsidR="00E367C9" w:rsidRDefault="00E367C9" w:rsidP="005D18E2">
      <w:r>
        <w:t>Avritzer, Leonardo (200</w:t>
      </w:r>
      <w:r w:rsidR="00A055F3">
        <w:t xml:space="preserve">2). « Sociedad civil, espacio </w:t>
      </w:r>
      <w:r w:rsidR="00A055F3" w:rsidRPr="00DF0023">
        <w:t>pú</w:t>
      </w:r>
      <w:r w:rsidRPr="00DF0023">
        <w:t>blico</w:t>
      </w:r>
      <w:r w:rsidR="00A055F3">
        <w:t xml:space="preserve"> y poder local. Un </w:t>
      </w:r>
      <w:r w:rsidR="00A055F3" w:rsidRPr="00DF0023">
        <w:t>aná</w:t>
      </w:r>
      <w:r w:rsidRPr="00DF0023">
        <w:t>lisis</w:t>
      </w:r>
      <w:r>
        <w:t xml:space="preserve"> del presupuesto participativo en Belo Horizonte y Porto Alegre », dans Evelina Dagnino (Ed.)</w:t>
      </w:r>
    </w:p>
    <w:p w14:paraId="6F9FA638" w14:textId="77777777" w:rsidR="00C4230E" w:rsidRDefault="00E367C9" w:rsidP="005D18E2">
      <w:r>
        <w:t xml:space="preserve">(2002). </w:t>
      </w:r>
      <w:r w:rsidR="00A055F3">
        <w:rPr>
          <w:i/>
        </w:rPr>
        <w:t xml:space="preserve">Sociedad civil, esfera </w:t>
      </w:r>
      <w:r w:rsidR="00A055F3" w:rsidRPr="00DF0023">
        <w:rPr>
          <w:i/>
        </w:rPr>
        <w:t>pú</w:t>
      </w:r>
      <w:r w:rsidRPr="00DF0023">
        <w:rPr>
          <w:i/>
        </w:rPr>
        <w:t>blic</w:t>
      </w:r>
      <w:r w:rsidR="00A055F3" w:rsidRPr="00DF0023">
        <w:rPr>
          <w:i/>
        </w:rPr>
        <w:t>a</w:t>
      </w:r>
      <w:r w:rsidR="00A055F3">
        <w:rPr>
          <w:i/>
        </w:rPr>
        <w:t xml:space="preserve"> y </w:t>
      </w:r>
      <w:r w:rsidR="00A055F3" w:rsidRPr="00DF0023">
        <w:rPr>
          <w:i/>
        </w:rPr>
        <w:t>democratizació</w:t>
      </w:r>
      <w:r w:rsidRPr="00DF0023">
        <w:rPr>
          <w:i/>
        </w:rPr>
        <w:t>n</w:t>
      </w:r>
      <w:r>
        <w:rPr>
          <w:i/>
        </w:rPr>
        <w:t xml:space="preserve"> en América Latina : Brasil</w:t>
      </w:r>
      <w:r>
        <w:t xml:space="preserve">, </w:t>
      </w:r>
      <w:r w:rsidR="00321E28" w:rsidRPr="0032341F">
        <w:t>Fundo</w:t>
      </w:r>
      <w:r w:rsidR="005F0719" w:rsidRPr="0032341F">
        <w:t xml:space="preserve"> de Cultura Econó</w:t>
      </w:r>
      <w:r w:rsidR="00321E28" w:rsidRPr="0032341F">
        <w:t>mica, México,</w:t>
      </w:r>
      <w:r w:rsidR="00321E28">
        <w:t xml:space="preserve"> </w:t>
      </w:r>
      <w:r>
        <w:t>120-153.</w:t>
      </w:r>
    </w:p>
    <w:p w14:paraId="5AB8B0D2" w14:textId="77777777" w:rsidR="005973B7" w:rsidRDefault="005973B7" w:rsidP="005D18E2"/>
    <w:p w14:paraId="7A645981" w14:textId="77777777" w:rsidR="00690B0F" w:rsidRDefault="00690B0F" w:rsidP="005D18E2">
      <w:r w:rsidRPr="0032341F">
        <w:t>Avritzer, Leonardo (</w:t>
      </w:r>
      <w:r w:rsidR="005F0719" w:rsidRPr="0032341F">
        <w:t>2006). « Democracia local y polí</w:t>
      </w:r>
      <w:r w:rsidRPr="0032341F">
        <w:t xml:space="preserve">tica deliberativa en Brasil », dans Ernesto Isunza Vera et Alberto J. Olvera (Eds) (2006). </w:t>
      </w:r>
      <w:r w:rsidR="00A37D62" w:rsidRPr="0032341F">
        <w:rPr>
          <w:i/>
        </w:rPr>
        <w:t>Democratizació</w:t>
      </w:r>
      <w:r w:rsidRPr="0032341F">
        <w:rPr>
          <w:i/>
        </w:rPr>
        <w:t>n, re</w:t>
      </w:r>
      <w:r w:rsidR="00A37D62" w:rsidRPr="0032341F">
        <w:rPr>
          <w:i/>
        </w:rPr>
        <w:t>ndició</w:t>
      </w:r>
      <w:r w:rsidRPr="0032341F">
        <w:rPr>
          <w:i/>
        </w:rPr>
        <w:t>n de cuentas</w:t>
      </w:r>
      <w:r w:rsidR="00A37D62" w:rsidRPr="0032341F">
        <w:rPr>
          <w:i/>
        </w:rPr>
        <w:t xml:space="preserve"> y sociedad civil : participació</w:t>
      </w:r>
      <w:r w:rsidRPr="0032341F">
        <w:rPr>
          <w:i/>
        </w:rPr>
        <w:t>n ciudadana y control social</w:t>
      </w:r>
      <w:r w:rsidRPr="0032341F">
        <w:t xml:space="preserve">, </w:t>
      </w:r>
      <w:r w:rsidR="00FC1FE5" w:rsidRPr="0032341F">
        <w:t>Universidad Veracruzana</w:t>
      </w:r>
      <w:r w:rsidR="00A37D62" w:rsidRPr="0032341F">
        <w:t xml:space="preserve"> et Miguel Á</w:t>
      </w:r>
      <w:r w:rsidR="00922C62" w:rsidRPr="0032341F">
        <w:t>ngel Porrua, México, 411-434.</w:t>
      </w:r>
    </w:p>
    <w:p w14:paraId="76CA954F" w14:textId="77777777" w:rsidR="00831C2E" w:rsidRDefault="00831C2E" w:rsidP="005D18E2"/>
    <w:p w14:paraId="54CEE3D2" w14:textId="77777777" w:rsidR="00C3337F" w:rsidRDefault="00C3337F" w:rsidP="005D18E2">
      <w:r w:rsidRPr="0032341F">
        <w:t xml:space="preserve">Bachelet, Michelle (2014). </w:t>
      </w:r>
      <w:r w:rsidRPr="0032341F">
        <w:rPr>
          <w:i/>
        </w:rPr>
        <w:t>Instructivo p</w:t>
      </w:r>
      <w:r w:rsidR="00A37D62" w:rsidRPr="0032341F">
        <w:rPr>
          <w:i/>
        </w:rPr>
        <w:t>residencial para la participació</w:t>
      </w:r>
      <w:r w:rsidRPr="0032341F">
        <w:rPr>
          <w:i/>
        </w:rPr>
        <w:t>n</w:t>
      </w:r>
      <w:r w:rsidR="0032341F">
        <w:rPr>
          <w:i/>
        </w:rPr>
        <w:t xml:space="preserve"> c</w:t>
      </w:r>
      <w:r w:rsidRPr="0032341F">
        <w:rPr>
          <w:i/>
        </w:rPr>
        <w:t>iudadana</w:t>
      </w:r>
      <w:r w:rsidR="00A37D62" w:rsidRPr="0032341F">
        <w:rPr>
          <w:i/>
        </w:rPr>
        <w:t xml:space="preserve"> en la gestión pú</w:t>
      </w:r>
      <w:r w:rsidRPr="0032341F">
        <w:rPr>
          <w:i/>
        </w:rPr>
        <w:t>blica</w:t>
      </w:r>
      <w:r w:rsidRPr="0032341F">
        <w:t>, Gab. Pres. No 7, 6 août 2014, 7 p.</w:t>
      </w:r>
      <w:r>
        <w:t xml:space="preserve"> </w:t>
      </w:r>
    </w:p>
    <w:p w14:paraId="2006CD54" w14:textId="77777777" w:rsidR="00C3337F" w:rsidRPr="00C3337F" w:rsidRDefault="00C3337F" w:rsidP="005D18E2"/>
    <w:p w14:paraId="3FFFC16B" w14:textId="77777777" w:rsidR="006E774C" w:rsidRPr="006E774C" w:rsidRDefault="006E774C" w:rsidP="005973B7">
      <w:r>
        <w:t xml:space="preserve">Blondiaux, Loïc (2008). </w:t>
      </w:r>
      <w:r>
        <w:rPr>
          <w:i/>
        </w:rPr>
        <w:t>Le nouvel esprit de la démocratie. Actualité de la démocratie participative</w:t>
      </w:r>
      <w:r>
        <w:t xml:space="preserve">, Seuil, Paris. </w:t>
      </w:r>
    </w:p>
    <w:p w14:paraId="51ABFEA9" w14:textId="77777777" w:rsidR="006E774C" w:rsidRDefault="006E774C" w:rsidP="005973B7"/>
    <w:p w14:paraId="4E557C99" w14:textId="77777777" w:rsidR="005973B7" w:rsidRPr="00715650" w:rsidRDefault="005973B7" w:rsidP="005973B7">
      <w:r>
        <w:t xml:space="preserve">Bolivia (2009). </w:t>
      </w:r>
      <w:r w:rsidR="00A055F3" w:rsidRPr="00DF0023">
        <w:rPr>
          <w:i/>
        </w:rPr>
        <w:t>Constitución polí</w:t>
      </w:r>
      <w:r w:rsidRPr="00DF0023">
        <w:rPr>
          <w:i/>
        </w:rPr>
        <w:t>tica</w:t>
      </w:r>
      <w:r>
        <w:rPr>
          <w:i/>
        </w:rPr>
        <w:t xml:space="preserve"> del estado Plurinacional de Bolivia</w:t>
      </w:r>
      <w:r>
        <w:t xml:space="preserve">, La Paz, Gouvernement de la Bolivie. </w:t>
      </w:r>
    </w:p>
    <w:p w14:paraId="4099E64E" w14:textId="77777777" w:rsidR="0032268D" w:rsidRPr="00E367C9" w:rsidRDefault="0032268D" w:rsidP="005D18E2"/>
    <w:p w14:paraId="6B250750" w14:textId="77777777" w:rsidR="00C4230E" w:rsidRDefault="00C4230E" w:rsidP="005D18E2">
      <w:r>
        <w:t xml:space="preserve">Bouchard, Marie J. (2012). </w:t>
      </w:r>
      <w:r>
        <w:rPr>
          <w:i/>
        </w:rPr>
        <w:t>L’économie sociale, vecteur d’innovation</w:t>
      </w:r>
      <w:r>
        <w:t>, Québec, Presses de l’Université du Québec.</w:t>
      </w:r>
    </w:p>
    <w:p w14:paraId="0696851F" w14:textId="77777777" w:rsidR="00C4230E" w:rsidRDefault="00C4230E" w:rsidP="005D18E2"/>
    <w:p w14:paraId="577DAFE1" w14:textId="77777777" w:rsidR="00C4230E" w:rsidRPr="00DB2ED1" w:rsidRDefault="00C4230E" w:rsidP="005D18E2">
      <w:pPr>
        <w:rPr>
          <w:lang w:val="en-CA"/>
        </w:rPr>
      </w:pPr>
      <w:r w:rsidRPr="00DB2ED1">
        <w:rPr>
          <w:lang w:val="en-CA"/>
        </w:rPr>
        <w:t xml:space="preserve">Bouchard, Marie J. (2013). </w:t>
      </w:r>
      <w:r w:rsidRPr="00DB2ED1">
        <w:rPr>
          <w:i/>
          <w:lang w:val="en-CA"/>
        </w:rPr>
        <w:t>Innovation and the Social Economy</w:t>
      </w:r>
      <w:r w:rsidRPr="00DB2ED1">
        <w:rPr>
          <w:lang w:val="en-CA"/>
        </w:rPr>
        <w:t>, Toronto, University of Toronto Press.</w:t>
      </w:r>
    </w:p>
    <w:p w14:paraId="0BD13EBB" w14:textId="77777777" w:rsidR="005C2369" w:rsidRDefault="005C2369" w:rsidP="005D18E2">
      <w:pPr>
        <w:rPr>
          <w:lang w:val="en-CA"/>
        </w:rPr>
      </w:pPr>
    </w:p>
    <w:p w14:paraId="7560464D" w14:textId="77777777" w:rsidR="00E511B7" w:rsidRDefault="00E511B7" w:rsidP="005D18E2">
      <w:r w:rsidRPr="00E511B7">
        <w:rPr>
          <w:highlight w:val="yellow"/>
          <w:lang w:val="en-CA"/>
        </w:rPr>
        <w:t>Calderon Alzati, Enrique (2014). “Se</w:t>
      </w:r>
      <w:r w:rsidRPr="00E511B7">
        <w:rPr>
          <w:highlight w:val="yellow"/>
        </w:rPr>
        <w:t xml:space="preserve">ñor Presidente, no era por alli », </w:t>
      </w:r>
      <w:r w:rsidRPr="00E511B7">
        <w:rPr>
          <w:i/>
          <w:highlight w:val="yellow"/>
        </w:rPr>
        <w:t>La Jornada</w:t>
      </w:r>
      <w:r w:rsidRPr="00E511B7">
        <w:rPr>
          <w:highlight w:val="yellow"/>
        </w:rPr>
        <w:t>, 29 novembre 2014.</w:t>
      </w:r>
    </w:p>
    <w:p w14:paraId="0975E4EC" w14:textId="77777777" w:rsidR="00E511B7" w:rsidRPr="00E511B7" w:rsidRDefault="00E511B7" w:rsidP="005D18E2">
      <w:pPr>
        <w:rPr>
          <w:lang w:val="en-CA"/>
        </w:rPr>
      </w:pPr>
    </w:p>
    <w:p w14:paraId="0ADBE969" w14:textId="77777777" w:rsidR="005C2369" w:rsidRPr="005C2369" w:rsidRDefault="005C2369" w:rsidP="005D18E2">
      <w:r w:rsidRPr="00A8299A">
        <w:t xml:space="preserve">Carle Marsan, Marianne et Léa Champagne (2014). « Medellin, </w:t>
      </w:r>
      <w:r w:rsidRPr="00A8299A">
        <w:rPr>
          <w:i/>
        </w:rPr>
        <w:t>Ciudad para la vida </w:t>
      </w:r>
      <w:r w:rsidRPr="00A8299A">
        <w:t xml:space="preserve">: de la résilience à l’innovation urbaine », </w:t>
      </w:r>
      <w:r w:rsidRPr="00A8299A">
        <w:rPr>
          <w:i/>
        </w:rPr>
        <w:t>Kaleidoscope</w:t>
      </w:r>
      <w:r w:rsidRPr="00A8299A">
        <w:t xml:space="preserve">, vol. 2, no 1, printemps 2014, </w:t>
      </w:r>
      <w:r w:rsidR="007F15FA" w:rsidRPr="00A8299A">
        <w:t>11-13.</w:t>
      </w:r>
    </w:p>
    <w:p w14:paraId="3196130C" w14:textId="77777777" w:rsidR="007E5DF5" w:rsidRDefault="007E5DF5" w:rsidP="005D18E2"/>
    <w:p w14:paraId="65658C26" w14:textId="77777777" w:rsidR="007E5DF5" w:rsidRPr="00CD74C7" w:rsidRDefault="007E5DF5" w:rsidP="007E5DF5">
      <w:pPr>
        <w:rPr>
          <w:lang w:val="fr-FR"/>
        </w:rPr>
      </w:pPr>
      <w:r>
        <w:rPr>
          <w:lang w:val="fr-FR"/>
        </w:rPr>
        <w:t>Cary, Paul (2005). « </w:t>
      </w:r>
      <w:r w:rsidRPr="00CD74C7">
        <w:t>Qui participe à quoi ? Le budget participatif à Recife </w:t>
      </w:r>
      <w:r>
        <w:rPr>
          <w:sz w:val="26"/>
          <w:szCs w:val="26"/>
          <w:lang w:val="fr-FR"/>
        </w:rPr>
        <w:t xml:space="preserve">», </w:t>
      </w:r>
      <w:r w:rsidRPr="007E5DF5">
        <w:rPr>
          <w:i/>
        </w:rPr>
        <w:t>Revue du MAUSS</w:t>
      </w:r>
      <w:r>
        <w:rPr>
          <w:sz w:val="22"/>
          <w:szCs w:val="22"/>
          <w:lang w:val="fr-FR"/>
        </w:rPr>
        <w:t xml:space="preserve">, </w:t>
      </w:r>
      <w:r w:rsidRPr="007E5DF5">
        <w:t>La Découverte</w:t>
      </w:r>
      <w:r>
        <w:rPr>
          <w:sz w:val="22"/>
          <w:szCs w:val="22"/>
          <w:lang w:val="fr-FR"/>
        </w:rPr>
        <w:t xml:space="preserve">, </w:t>
      </w:r>
      <w:r w:rsidRPr="007E5DF5">
        <w:t>2005/2 - no 26, 211-230.</w:t>
      </w:r>
    </w:p>
    <w:p w14:paraId="03BE7104" w14:textId="77777777" w:rsidR="0032268D" w:rsidRDefault="0032268D" w:rsidP="005D18E2"/>
    <w:p w14:paraId="3C024673" w14:textId="77777777" w:rsidR="0032268D" w:rsidRDefault="0032268D" w:rsidP="0032268D">
      <w:r w:rsidRPr="00DF0023">
        <w:t>Chavez T</w:t>
      </w:r>
      <w:r w:rsidR="00707960">
        <w:t xml:space="preserve">eixeira, Ana Claudia et </w:t>
      </w:r>
      <w:r w:rsidR="00707960" w:rsidRPr="00A8299A">
        <w:t>Marí</w:t>
      </w:r>
      <w:r w:rsidRPr="00A8299A">
        <w:t>a</w:t>
      </w:r>
      <w:r>
        <w:t xml:space="preserve"> do Carmo Albuquerque (2006). « Presupuestos</w:t>
      </w:r>
      <w:r w:rsidR="00403A52">
        <w:t xml:space="preserve"> participativos : proyectos </w:t>
      </w:r>
      <w:r w:rsidR="00403A52" w:rsidRPr="00DF0023">
        <w:t>políticos,</w:t>
      </w:r>
      <w:r w:rsidR="00403A52" w:rsidRPr="00A8299A">
        <w:t xml:space="preserve"> </w:t>
      </w:r>
      <w:r w:rsidR="00403A52" w:rsidRPr="00DF0023">
        <w:t>cogestión</w:t>
      </w:r>
      <w:r w:rsidR="00403A52">
        <w:t xml:space="preserve"> del poder y alcance </w:t>
      </w:r>
      <w:r w:rsidR="00403A52" w:rsidRPr="00DF0023">
        <w:t>democrá</w:t>
      </w:r>
      <w:r w:rsidRPr="00DF0023">
        <w:t>tico</w:t>
      </w:r>
      <w:r>
        <w:t xml:space="preserve"> », dans Dagnino, Evelina, Olvera, Alberto J. et Aldo Panfichi (Eds) (2006). </w:t>
      </w:r>
      <w:r>
        <w:rPr>
          <w:i/>
        </w:rPr>
        <w:t xml:space="preserve">La disputa por la </w:t>
      </w:r>
      <w:r w:rsidRPr="00DF0023">
        <w:rPr>
          <w:i/>
        </w:rPr>
        <w:t>construcci</w:t>
      </w:r>
      <w:r w:rsidR="00403A52" w:rsidRPr="00DF0023">
        <w:rPr>
          <w:i/>
        </w:rPr>
        <w:t>ón democrá</w:t>
      </w:r>
      <w:r w:rsidRPr="00DF0023">
        <w:rPr>
          <w:i/>
        </w:rPr>
        <w:t>tica</w:t>
      </w:r>
      <w:r>
        <w:rPr>
          <w:i/>
        </w:rPr>
        <w:t xml:space="preserve"> en América Latina</w:t>
      </w:r>
      <w:r w:rsidR="00403A52">
        <w:t xml:space="preserve">, Fondo de Cultura </w:t>
      </w:r>
      <w:r w:rsidR="00403A52" w:rsidRPr="00DF0023">
        <w:t>Econó</w:t>
      </w:r>
      <w:r w:rsidRPr="00DF0023">
        <w:t>mica</w:t>
      </w:r>
      <w:r>
        <w:t>, CIESAS, Universidad Veracruzana, Xalapa, Mexique, 192-242.</w:t>
      </w:r>
    </w:p>
    <w:p w14:paraId="3E5572C2" w14:textId="77777777" w:rsidR="00AB60B7" w:rsidRDefault="00AB60B7" w:rsidP="0032268D"/>
    <w:p w14:paraId="6F20532B" w14:textId="77777777" w:rsidR="00AB60B7" w:rsidRPr="00116D1B" w:rsidRDefault="00AB60B7" w:rsidP="0032268D">
      <w:r w:rsidRPr="00DB2ED1">
        <w:rPr>
          <w:lang w:val="en-CA"/>
        </w:rPr>
        <w:t xml:space="preserve">Chile (1980). </w:t>
      </w:r>
      <w:r w:rsidRPr="00DB2ED1">
        <w:rPr>
          <w:i/>
          <w:lang w:val="en-CA"/>
        </w:rPr>
        <w:t xml:space="preserve">Constitution of the Republic of Chile. </w:t>
      </w:r>
      <w:r w:rsidR="00116D1B">
        <w:t>Santiago, 21 octobre 1980, 69 p.</w:t>
      </w:r>
    </w:p>
    <w:p w14:paraId="46237887" w14:textId="77777777" w:rsidR="00AB60B7" w:rsidRPr="00AB60B7" w:rsidRDefault="00AB60B7" w:rsidP="0032268D">
      <w:r w:rsidRPr="00AB60B7">
        <w:t>http://confinder.richmond.edu/admin/docs/Chile.pdf</w:t>
      </w:r>
    </w:p>
    <w:p w14:paraId="59D3C010" w14:textId="77777777" w:rsidR="00A56D6B" w:rsidRDefault="00A56D6B" w:rsidP="005D18E2"/>
    <w:p w14:paraId="2B7C0AAB" w14:textId="77777777" w:rsidR="00377483" w:rsidRDefault="00377483" w:rsidP="005D18E2">
      <w:r>
        <w:lastRenderedPageBreak/>
        <w:t xml:space="preserve">Constitutionnet (2014). « Histoire constitutionnelle du Venezuela », </w:t>
      </w:r>
      <w:r>
        <w:rPr>
          <w:i/>
        </w:rPr>
        <w:t>Constitutionnet</w:t>
      </w:r>
      <w:r>
        <w:t>, 5 p.</w:t>
      </w:r>
    </w:p>
    <w:p w14:paraId="50B20854" w14:textId="77777777" w:rsidR="00377483" w:rsidRDefault="00E744D6" w:rsidP="005D18E2">
      <w:hyperlink r:id="rId11" w:history="1">
        <w:r w:rsidR="00E7653E" w:rsidRPr="004B6E59">
          <w:rPr>
            <w:rStyle w:val="Lienhypertexte"/>
          </w:rPr>
          <w:t>http://www.constitutionnet.org/fr/country/constitutional-history-venezuela</w:t>
        </w:r>
      </w:hyperlink>
      <w:r w:rsidR="00E7653E">
        <w:t>.</w:t>
      </w:r>
    </w:p>
    <w:p w14:paraId="58F65FEC" w14:textId="77777777" w:rsidR="00E7653E" w:rsidRDefault="00E7653E" w:rsidP="005D18E2"/>
    <w:p w14:paraId="7ECABFAA" w14:textId="77777777" w:rsidR="00E7653E" w:rsidRPr="00DB2ED1" w:rsidRDefault="00E7653E" w:rsidP="00E7653E">
      <w:pPr>
        <w:rPr>
          <w:lang w:val="en-CA"/>
        </w:rPr>
      </w:pPr>
      <w:r w:rsidRPr="001521D6">
        <w:t>Correa</w:t>
      </w:r>
      <w:r>
        <w:t>,</w:t>
      </w:r>
      <w:r w:rsidRPr="001521D6">
        <w:t xml:space="preserve"> Rafael (2010). </w:t>
      </w:r>
      <w:r w:rsidRPr="001521D6">
        <w:rPr>
          <w:i/>
        </w:rPr>
        <w:t>Disc</w:t>
      </w:r>
      <w:r w:rsidR="00403A52">
        <w:rPr>
          <w:i/>
        </w:rPr>
        <w:t xml:space="preserve">urso ante el congreso de la </w:t>
      </w:r>
      <w:r w:rsidR="00403A52" w:rsidRPr="00DF0023">
        <w:rPr>
          <w:i/>
        </w:rPr>
        <w:t>Repú</w:t>
      </w:r>
      <w:r w:rsidRPr="00DF0023">
        <w:rPr>
          <w:i/>
        </w:rPr>
        <w:t>blica</w:t>
      </w:r>
      <w:r w:rsidRPr="001521D6">
        <w:rPr>
          <w:i/>
        </w:rPr>
        <w:t xml:space="preserve"> bolivartiana de Venezuela</w:t>
      </w:r>
      <w:r w:rsidRPr="001521D6">
        <w:t>, Caracas, 5 de julio de 2010, format PDF, 33 p.</w:t>
      </w:r>
      <w:r>
        <w:t xml:space="preserve"> </w:t>
      </w:r>
      <w:hyperlink r:id="rId12" w:history="1">
        <w:r w:rsidRPr="00493063">
          <w:rPr>
            <w:rStyle w:val="Lienhypertexte"/>
            <w:lang w:val="en-US"/>
          </w:rPr>
          <w:t>http://www.presidencia.gov.ec/pdf/discurso_congresoven.pdf</w:t>
        </w:r>
      </w:hyperlink>
      <w:r w:rsidRPr="00DB2ED1">
        <w:rPr>
          <w:lang w:val="en-CA"/>
        </w:rPr>
        <w:t>.</w:t>
      </w:r>
    </w:p>
    <w:p w14:paraId="4327E248" w14:textId="77777777" w:rsidR="00377483" w:rsidRPr="00DB2ED1" w:rsidRDefault="00377483" w:rsidP="005D18E2">
      <w:pPr>
        <w:rPr>
          <w:lang w:val="en-CA"/>
        </w:rPr>
      </w:pPr>
    </w:p>
    <w:p w14:paraId="6C20B201" w14:textId="77777777" w:rsidR="00025905" w:rsidRDefault="00025905" w:rsidP="005D18E2">
      <w:r w:rsidRPr="00DB2ED1">
        <w:rPr>
          <w:lang w:val="en-CA"/>
        </w:rPr>
        <w:t xml:space="preserve">Correa, Rafael (2012). </w:t>
      </w:r>
      <w:r>
        <w:t xml:space="preserve">« Julian Assange interviewe le Président équatorien, Rafael Correa », publié le 22 mai 2012 par </w:t>
      </w:r>
      <w:r w:rsidR="00910824">
        <w:t>Russia Today</w:t>
      </w:r>
      <w:r>
        <w:t>.</w:t>
      </w:r>
    </w:p>
    <w:p w14:paraId="3D59C600" w14:textId="77777777" w:rsidR="00025905" w:rsidRDefault="00025905" w:rsidP="005D18E2"/>
    <w:p w14:paraId="380DCEBC" w14:textId="77777777" w:rsidR="008A44AC" w:rsidRPr="008A44AC" w:rsidRDefault="008A44AC" w:rsidP="005D18E2">
      <w:r>
        <w:t xml:space="preserve">Couffignal, Georges (2012). « Stabilité politique et crise de la représentation au Chili », </w:t>
      </w:r>
      <w:r>
        <w:rPr>
          <w:i/>
        </w:rPr>
        <w:t>Cahiers des Amériques latines</w:t>
      </w:r>
      <w:r>
        <w:t>, no 68, 109-124.</w:t>
      </w:r>
    </w:p>
    <w:p w14:paraId="04C0C8E2" w14:textId="77777777" w:rsidR="0032268D" w:rsidRDefault="0032268D" w:rsidP="005D18E2"/>
    <w:p w14:paraId="72E73D9F" w14:textId="77777777" w:rsidR="0032268D" w:rsidRDefault="0032268D" w:rsidP="005D18E2">
      <w:r>
        <w:t xml:space="preserve">Dagnino, Evelina, Olvera, Alberto J. et Aldo Panfichi (Eds) (2006). </w:t>
      </w:r>
      <w:r w:rsidR="00403A52">
        <w:rPr>
          <w:i/>
        </w:rPr>
        <w:t xml:space="preserve">La disputa por la </w:t>
      </w:r>
      <w:r w:rsidR="00403A52" w:rsidRPr="00DF0023">
        <w:rPr>
          <w:i/>
        </w:rPr>
        <w:t>construcción democrá</w:t>
      </w:r>
      <w:r w:rsidRPr="00DF0023">
        <w:rPr>
          <w:i/>
        </w:rPr>
        <w:t>tica</w:t>
      </w:r>
      <w:r>
        <w:rPr>
          <w:i/>
        </w:rPr>
        <w:t xml:space="preserve"> en América Latina</w:t>
      </w:r>
      <w:r w:rsidR="00403A52">
        <w:t xml:space="preserve">, Fondo de Cultura </w:t>
      </w:r>
      <w:r w:rsidR="00403A52" w:rsidRPr="00DF0023">
        <w:t>Econó</w:t>
      </w:r>
      <w:r w:rsidRPr="00DF0023">
        <w:t>mica</w:t>
      </w:r>
      <w:r>
        <w:t>, CIESAS, Universid</w:t>
      </w:r>
      <w:r w:rsidR="00984BB4">
        <w:t>ad Veracruzana, Xalapa, Mexique.</w:t>
      </w:r>
    </w:p>
    <w:p w14:paraId="2C33ED75" w14:textId="77777777" w:rsidR="00C61C2D" w:rsidRDefault="00C61C2D" w:rsidP="005D18E2"/>
    <w:p w14:paraId="5F295C2C" w14:textId="77777777" w:rsidR="00C61C2D" w:rsidRDefault="00DA18F3" w:rsidP="00C61C2D">
      <w:r w:rsidRPr="00A8299A">
        <w:t>Dá</w:t>
      </w:r>
      <w:r w:rsidR="00C61C2D" w:rsidRPr="00A8299A">
        <w:t>valos</w:t>
      </w:r>
      <w:r w:rsidR="00C61C2D">
        <w:t xml:space="preserve">, Pablo (2011). </w:t>
      </w:r>
      <w:r w:rsidR="00403A52">
        <w:rPr>
          <w:i/>
        </w:rPr>
        <w:t xml:space="preserve">Alianza </w:t>
      </w:r>
      <w:r w:rsidR="00403A52" w:rsidRPr="00DF0023">
        <w:rPr>
          <w:i/>
        </w:rPr>
        <w:t>Paí</w:t>
      </w:r>
      <w:r w:rsidR="00C61C2D" w:rsidRPr="00DF0023">
        <w:rPr>
          <w:i/>
        </w:rPr>
        <w:t>s</w:t>
      </w:r>
      <w:r w:rsidR="00403A52">
        <w:rPr>
          <w:i/>
        </w:rPr>
        <w:t xml:space="preserve"> </w:t>
      </w:r>
      <w:r w:rsidR="00403A52" w:rsidRPr="00DF0023">
        <w:rPr>
          <w:i/>
        </w:rPr>
        <w:t>o la Reinvenció</w:t>
      </w:r>
      <w:r w:rsidR="00C61C2D" w:rsidRPr="00DF0023">
        <w:rPr>
          <w:i/>
        </w:rPr>
        <w:t>n</w:t>
      </w:r>
      <w:r w:rsidR="00C61C2D">
        <w:rPr>
          <w:i/>
        </w:rPr>
        <w:t xml:space="preserve"> de la Derecha. Ensayo sobre el posneoliberalismo en el Ecuador</w:t>
      </w:r>
      <w:r w:rsidR="00C61C2D">
        <w:t>, Quito.</w:t>
      </w:r>
    </w:p>
    <w:p w14:paraId="50C1E670" w14:textId="77777777" w:rsidR="00984BB4" w:rsidRDefault="00984BB4" w:rsidP="005D18E2"/>
    <w:p w14:paraId="39B24A74" w14:textId="77777777" w:rsidR="00984BB4" w:rsidRPr="00DB2ED1" w:rsidRDefault="00984BB4" w:rsidP="005D18E2">
      <w:pPr>
        <w:rPr>
          <w:lang w:val="en-CA"/>
        </w:rPr>
      </w:pPr>
      <w:r>
        <w:t xml:space="preserve">De La Torre, Carlos (2013). </w:t>
      </w:r>
      <w:r w:rsidRPr="00DB2ED1">
        <w:rPr>
          <w:lang w:val="en-CA"/>
        </w:rPr>
        <w:t xml:space="preserve">« Technocratic Populism in Equador », </w:t>
      </w:r>
      <w:r w:rsidRPr="00DB2ED1">
        <w:rPr>
          <w:i/>
          <w:lang w:val="en-CA"/>
        </w:rPr>
        <w:t>Journal of Democracy</w:t>
      </w:r>
      <w:r w:rsidRPr="00DB2ED1">
        <w:rPr>
          <w:lang w:val="en-CA"/>
        </w:rPr>
        <w:t xml:space="preserve">, vol. 24, no 3, juillet 2013, 33-46. </w:t>
      </w:r>
    </w:p>
    <w:p w14:paraId="07DF0FF9" w14:textId="77777777" w:rsidR="00274A31" w:rsidRPr="00DB2ED1" w:rsidRDefault="00274A31" w:rsidP="005D18E2">
      <w:pPr>
        <w:rPr>
          <w:lang w:val="en-CA"/>
        </w:rPr>
      </w:pPr>
    </w:p>
    <w:p w14:paraId="1374700B" w14:textId="77777777" w:rsidR="00A762FE" w:rsidRDefault="00A762FE" w:rsidP="00A762FE">
      <w:pPr>
        <w:rPr>
          <w:lang w:val="en-US"/>
        </w:rPr>
      </w:pPr>
      <w:r>
        <w:t>Ducharme, Marie-Noë</w:t>
      </w:r>
      <w:r w:rsidR="00274A31">
        <w:t>ll</w:t>
      </w:r>
      <w:r w:rsidR="007E6EC4">
        <w:t>e et Yves Vaillancourt (2012)</w:t>
      </w:r>
      <w:r w:rsidRPr="00CB381B">
        <w:t xml:space="preserve">. </w:t>
      </w:r>
      <w:r w:rsidRPr="00CB381B">
        <w:rPr>
          <w:lang w:val="en-US"/>
        </w:rPr>
        <w:t xml:space="preserve">“The </w:t>
      </w:r>
      <w:r w:rsidRPr="00CB381B">
        <w:rPr>
          <w:i/>
          <w:lang w:val="en-US"/>
        </w:rPr>
        <w:t xml:space="preserve">AccèsLogis Quebec </w:t>
      </w:r>
      <w:r w:rsidRPr="00CB381B">
        <w:rPr>
          <w:lang w:val="en-US"/>
        </w:rPr>
        <w:t xml:space="preserve">Program: 15 years of Partnership", </w:t>
      </w:r>
      <w:r w:rsidRPr="00CB381B">
        <w:rPr>
          <w:i/>
          <w:lang w:val="en-US"/>
        </w:rPr>
        <w:t xml:space="preserve">Canadian Review of Social Policy / Revue canadienne de politique sociale, </w:t>
      </w:r>
      <w:r w:rsidRPr="00CB381B">
        <w:rPr>
          <w:lang w:val="en-US"/>
        </w:rPr>
        <w:t>2012, no 1, 16-29.</w:t>
      </w:r>
    </w:p>
    <w:p w14:paraId="74FB0C64" w14:textId="77777777" w:rsidR="000474C9" w:rsidRDefault="000474C9" w:rsidP="00A762FE">
      <w:pPr>
        <w:rPr>
          <w:lang w:val="en-US"/>
        </w:rPr>
      </w:pPr>
    </w:p>
    <w:p w14:paraId="5E175395" w14:textId="77777777" w:rsidR="000474C9" w:rsidRPr="00DB2ED1" w:rsidRDefault="000474C9" w:rsidP="00A762FE">
      <w:r w:rsidRPr="00DB2ED1">
        <w:t xml:space="preserve">Ecuador (2008). </w:t>
      </w:r>
      <w:r w:rsidR="00DA18F3" w:rsidRPr="00DB2ED1">
        <w:rPr>
          <w:i/>
        </w:rPr>
        <w:t>Constitució</w:t>
      </w:r>
      <w:r w:rsidRPr="00DB2ED1">
        <w:rPr>
          <w:i/>
        </w:rPr>
        <w:t>n 2008</w:t>
      </w:r>
      <w:r w:rsidRPr="00DB2ED1">
        <w:t>, Quito.</w:t>
      </w:r>
    </w:p>
    <w:p w14:paraId="3FEE73B0" w14:textId="77777777" w:rsidR="005C6C14" w:rsidRPr="00DB2ED1" w:rsidRDefault="005C6C14" w:rsidP="00A762FE"/>
    <w:p w14:paraId="39D90ABE" w14:textId="77777777" w:rsidR="005C6C14" w:rsidRPr="00DB2ED1" w:rsidRDefault="005C6C14" w:rsidP="005C6C14">
      <w:pPr>
        <w:rPr>
          <w:lang w:val="en-CA"/>
        </w:rPr>
      </w:pPr>
      <w:r>
        <w:t xml:space="preserve">EL DESCONCIERTO.CL (2013). </w:t>
      </w:r>
      <w:r w:rsidRPr="00DB2ED1">
        <w:rPr>
          <w:i/>
          <w:lang w:val="en-CA"/>
        </w:rPr>
        <w:t>Plebiscito para una nueva Constituci</w:t>
      </w:r>
      <w:r w:rsidR="00403A52" w:rsidRPr="00DB2ED1">
        <w:rPr>
          <w:i/>
          <w:lang w:val="en-CA"/>
        </w:rPr>
        <w:t>ó</w:t>
      </w:r>
      <w:r w:rsidRPr="00DB2ED1">
        <w:rPr>
          <w:i/>
          <w:lang w:val="en-CA"/>
        </w:rPr>
        <w:t>n</w:t>
      </w:r>
      <w:r w:rsidRPr="00DB2ED1">
        <w:rPr>
          <w:lang w:val="en-CA"/>
        </w:rPr>
        <w:t>,</w:t>
      </w:r>
      <w:r w:rsidR="00403A52" w:rsidRPr="00DB2ED1">
        <w:rPr>
          <w:lang w:val="en-CA"/>
        </w:rPr>
        <w:t xml:space="preserve"> Fundació</w:t>
      </w:r>
      <w:r w:rsidRPr="00DB2ED1">
        <w:rPr>
          <w:lang w:val="en-CA"/>
        </w:rPr>
        <w:t>n</w:t>
      </w:r>
      <w:r w:rsidR="00403A52" w:rsidRPr="00DB2ED1">
        <w:rPr>
          <w:lang w:val="en-CA"/>
        </w:rPr>
        <w:t xml:space="preserve"> Friedrich Ebert et Fundació</w:t>
      </w:r>
      <w:r w:rsidRPr="00DB2ED1">
        <w:rPr>
          <w:lang w:val="en-CA"/>
        </w:rPr>
        <w:t xml:space="preserve">n Chile 21, 92 p. </w:t>
      </w:r>
    </w:p>
    <w:p w14:paraId="567DF2C3" w14:textId="77777777" w:rsidR="00D16BE1" w:rsidRPr="00DB2ED1" w:rsidRDefault="00D16BE1" w:rsidP="005C6C14">
      <w:pPr>
        <w:rPr>
          <w:lang w:val="en-CA"/>
        </w:rPr>
      </w:pPr>
    </w:p>
    <w:p w14:paraId="38D71794" w14:textId="77777777" w:rsidR="00D16BE1" w:rsidRPr="00DB2ED1" w:rsidRDefault="00D16BE1" w:rsidP="005C6C14">
      <w:pPr>
        <w:rPr>
          <w:rFonts w:ascii="Arial" w:hAnsi="Arial" w:cs="Arial"/>
          <w:color w:val="082662"/>
          <w:sz w:val="70"/>
          <w:szCs w:val="70"/>
          <w:lang w:val="en-CA"/>
        </w:rPr>
      </w:pPr>
      <w:r w:rsidRPr="00DB2ED1">
        <w:rPr>
          <w:lang w:val="en-CA"/>
        </w:rPr>
        <w:t xml:space="preserve">Escobar, Arturo (2012). « Alternatives to development : an interview with Arturo Escobar », </w:t>
      </w:r>
      <w:r w:rsidRPr="00DB2ED1">
        <w:rPr>
          <w:i/>
          <w:lang w:val="en-CA"/>
        </w:rPr>
        <w:t>Transition Culture</w:t>
      </w:r>
      <w:r w:rsidRPr="00DB2ED1">
        <w:rPr>
          <w:lang w:val="en-CA"/>
        </w:rPr>
        <w:t>, 28 septembre 2012.</w:t>
      </w:r>
    </w:p>
    <w:p w14:paraId="2EB06275" w14:textId="77777777" w:rsidR="005D18E2" w:rsidRPr="00DB2ED1" w:rsidRDefault="005D18E2" w:rsidP="0087176C">
      <w:pPr>
        <w:rPr>
          <w:lang w:val="en-CA"/>
        </w:rPr>
      </w:pPr>
    </w:p>
    <w:p w14:paraId="3FBDE63D" w14:textId="77777777" w:rsidR="0087176C" w:rsidRDefault="0087176C" w:rsidP="0087176C">
      <w:r>
        <w:t>Estévez Valencia, Francisco Javier (2013). « Deus ex machina: una fórmula para el cambio constitucional </w:t>
      </w:r>
      <w:r w:rsidRPr="00DF0023">
        <w:t xml:space="preserve">», </w:t>
      </w:r>
      <w:r w:rsidR="00403A52" w:rsidRPr="00DF0023">
        <w:rPr>
          <w:i/>
        </w:rPr>
        <w:t>Polí</w:t>
      </w:r>
      <w:r w:rsidRPr="00DF0023">
        <w:rPr>
          <w:i/>
        </w:rPr>
        <w:t>tica</w:t>
      </w:r>
      <w:r w:rsidRPr="00DF0023">
        <w:rPr>
          <w:highlight w:val="yellow"/>
        </w:rPr>
        <w:t>,</w:t>
      </w:r>
      <w:r>
        <w:t xml:space="preserve"> 23 décembre 2013.</w:t>
      </w:r>
    </w:p>
    <w:p w14:paraId="733693CA" w14:textId="77777777" w:rsidR="00FA147F" w:rsidRDefault="00FA147F" w:rsidP="0087176C"/>
    <w:p w14:paraId="0FD0A03A" w14:textId="77777777" w:rsidR="0020731C" w:rsidRPr="008A2360" w:rsidRDefault="0020731C" w:rsidP="0020731C">
      <w:pPr>
        <w:rPr>
          <w:lang w:val="en-CA"/>
        </w:rPr>
      </w:pPr>
      <w:r w:rsidRPr="008A2360">
        <w:rPr>
          <w:lang w:val="en-CA"/>
        </w:rPr>
        <w:t xml:space="preserve">Evers, Adalbert (2013). « The concept of ‘civil society’ : different understandings and their implications for third sector policies », </w:t>
      </w:r>
      <w:r w:rsidRPr="008A2360">
        <w:rPr>
          <w:i/>
          <w:lang w:val="en-CA"/>
        </w:rPr>
        <w:t>Volontary Sector Review</w:t>
      </w:r>
      <w:r w:rsidRPr="008A2360">
        <w:rPr>
          <w:lang w:val="en-CA"/>
        </w:rPr>
        <w:t xml:space="preserve">, </w:t>
      </w:r>
      <w:r>
        <w:rPr>
          <w:lang w:val="en-CA"/>
        </w:rPr>
        <w:t>juillet</w:t>
      </w:r>
      <w:r w:rsidRPr="008A2360">
        <w:rPr>
          <w:lang w:val="en-CA"/>
        </w:rPr>
        <w:t xml:space="preserve"> 2013.</w:t>
      </w:r>
    </w:p>
    <w:p w14:paraId="519F7DA7" w14:textId="77777777" w:rsidR="0020731C" w:rsidRPr="00DB2ED1" w:rsidRDefault="0020731C" w:rsidP="0087176C">
      <w:pPr>
        <w:rPr>
          <w:lang w:val="en-CA"/>
        </w:rPr>
      </w:pPr>
    </w:p>
    <w:p w14:paraId="6EA44C6D" w14:textId="77777777" w:rsidR="003B2E6C" w:rsidRPr="00DB2ED1" w:rsidRDefault="003B2E6C" w:rsidP="0087176C">
      <w:pPr>
        <w:rPr>
          <w:lang w:val="en-CA"/>
        </w:rPr>
      </w:pPr>
      <w:r>
        <w:t xml:space="preserve">Evers, Adalbert et Anne-Marie Guillemard (Eds) (2013). </w:t>
      </w:r>
      <w:r w:rsidRPr="00DB2ED1">
        <w:rPr>
          <w:i/>
          <w:lang w:val="en-CA"/>
        </w:rPr>
        <w:t>Social Policy and Citizenship</w:t>
      </w:r>
      <w:r w:rsidRPr="00DB2ED1">
        <w:rPr>
          <w:lang w:val="en-CA"/>
        </w:rPr>
        <w:t xml:space="preserve">. </w:t>
      </w:r>
      <w:r w:rsidRPr="00DB2ED1">
        <w:rPr>
          <w:i/>
          <w:lang w:val="en-CA"/>
        </w:rPr>
        <w:t>The Changing Landscape</w:t>
      </w:r>
      <w:r w:rsidRPr="00DB2ED1">
        <w:rPr>
          <w:lang w:val="en-CA"/>
        </w:rPr>
        <w:t xml:space="preserve">, New York, Oxford University Press. </w:t>
      </w:r>
    </w:p>
    <w:p w14:paraId="3014ECDB" w14:textId="77777777" w:rsidR="000169A5" w:rsidRPr="00DB2ED1" w:rsidRDefault="000169A5" w:rsidP="0087176C">
      <w:pPr>
        <w:rPr>
          <w:lang w:val="en-CA"/>
        </w:rPr>
      </w:pPr>
    </w:p>
    <w:p w14:paraId="2DCF5FC2" w14:textId="77777777" w:rsidR="00305471" w:rsidRPr="00737E2C" w:rsidRDefault="002C0857" w:rsidP="00305471">
      <w:r w:rsidRPr="00A8299A">
        <w:lastRenderedPageBreak/>
        <w:t>Garcí</w:t>
      </w:r>
      <w:r w:rsidR="00305471" w:rsidRPr="00A8299A">
        <w:t>a</w:t>
      </w:r>
      <w:r>
        <w:t xml:space="preserve"> Linera, </w:t>
      </w:r>
      <w:r w:rsidRPr="00A8299A">
        <w:t>Á</w:t>
      </w:r>
      <w:r w:rsidR="00305471" w:rsidRPr="00A8299A">
        <w:t>lvaro</w:t>
      </w:r>
      <w:r w:rsidR="00305471">
        <w:t xml:space="preserve"> (2012). « Indianisme et marxisme », d</w:t>
      </w:r>
      <w:r>
        <w:t xml:space="preserve">ans Mariategui, José Carlos et </w:t>
      </w:r>
      <w:r w:rsidRPr="00A8299A">
        <w:t>Álvaro Garcí</w:t>
      </w:r>
      <w:r w:rsidR="00305471" w:rsidRPr="00A8299A">
        <w:t>a</w:t>
      </w:r>
      <w:r w:rsidR="00305471">
        <w:t xml:space="preserve"> Linera (2012). </w:t>
      </w:r>
      <w:r w:rsidR="00305471">
        <w:rPr>
          <w:i/>
        </w:rPr>
        <w:t>Indianisme et paysannerie en Amérique latine. Socialisme et libération nationale</w:t>
      </w:r>
      <w:r w:rsidR="00305471">
        <w:t>, Ville Mont-Royal, Québec, Canada,  M Éditeur, 121-132.</w:t>
      </w:r>
    </w:p>
    <w:p w14:paraId="079952EC" w14:textId="77777777" w:rsidR="00305471" w:rsidRDefault="00305471" w:rsidP="0087176C"/>
    <w:p w14:paraId="200ED91D" w14:textId="77777777" w:rsidR="000169A5" w:rsidRDefault="002176A4" w:rsidP="0087176C">
      <w:r w:rsidRPr="00A8299A">
        <w:t>Garcí</w:t>
      </w:r>
      <w:r w:rsidR="000169A5" w:rsidRPr="00A8299A">
        <w:t>a</w:t>
      </w:r>
      <w:r w:rsidR="000169A5">
        <w:t xml:space="preserve"> Linera, </w:t>
      </w:r>
      <w:r w:rsidRPr="00A8299A">
        <w:t>Á</w:t>
      </w:r>
      <w:r w:rsidR="008C0794" w:rsidRPr="00A8299A">
        <w:t>lvaro</w:t>
      </w:r>
      <w:r w:rsidR="008C0794">
        <w:t xml:space="preserve"> </w:t>
      </w:r>
      <w:r w:rsidR="000169A5">
        <w:t>(2013). Discours prononcé à Madrid en dans le cadre du 4</w:t>
      </w:r>
      <w:r w:rsidR="000169A5" w:rsidRPr="000169A5">
        <w:rPr>
          <w:vertAlign w:val="superscript"/>
        </w:rPr>
        <w:t>e</w:t>
      </w:r>
      <w:r w:rsidR="000169A5">
        <w:t xml:space="preserve"> </w:t>
      </w:r>
      <w:r w:rsidR="008C0794">
        <w:t xml:space="preserve">Congrès de la gauche européenne du 13 au 15 décembre 2013. Video de 32 minutes. </w:t>
      </w:r>
    </w:p>
    <w:p w14:paraId="74ABFBE8" w14:textId="77777777" w:rsidR="003B2E6C" w:rsidRDefault="003B2E6C" w:rsidP="0087176C"/>
    <w:p w14:paraId="04EBF356" w14:textId="77777777" w:rsidR="008A44AC" w:rsidRDefault="008A44AC" w:rsidP="0087176C">
      <w:r>
        <w:t xml:space="preserve">Garreton, Manuel Antonio (2007). </w:t>
      </w:r>
      <w:r>
        <w:rPr>
          <w:i/>
        </w:rPr>
        <w:t>Del Postpi</w:t>
      </w:r>
      <w:r w:rsidR="00403A52">
        <w:rPr>
          <w:i/>
        </w:rPr>
        <w:t xml:space="preserve">nochetismo a la sociedad </w:t>
      </w:r>
      <w:r w:rsidR="00403A52" w:rsidRPr="00DF0023">
        <w:rPr>
          <w:i/>
        </w:rPr>
        <w:t>democrá</w:t>
      </w:r>
      <w:r w:rsidRPr="00DF0023">
        <w:rPr>
          <w:i/>
        </w:rPr>
        <w:t>tica</w:t>
      </w:r>
      <w:r w:rsidRPr="00403A52">
        <w:rPr>
          <w:i/>
          <w:highlight w:val="yellow"/>
        </w:rPr>
        <w:t>.</w:t>
      </w:r>
      <w:r>
        <w:rPr>
          <w:i/>
        </w:rPr>
        <w:t xml:space="preserve"> </w:t>
      </w:r>
      <w:r w:rsidR="00403A52" w:rsidRPr="00DF0023">
        <w:rPr>
          <w:i/>
        </w:rPr>
        <w:t>Globalizació</w:t>
      </w:r>
      <w:r w:rsidRPr="00DF0023">
        <w:rPr>
          <w:i/>
        </w:rPr>
        <w:t>n y pol</w:t>
      </w:r>
      <w:r w:rsidR="00403A52" w:rsidRPr="00DF0023">
        <w:rPr>
          <w:i/>
        </w:rPr>
        <w:t>í</w:t>
      </w:r>
      <w:r w:rsidRPr="00DF0023">
        <w:rPr>
          <w:i/>
        </w:rPr>
        <w:t>tica</w:t>
      </w:r>
      <w:r>
        <w:rPr>
          <w:i/>
        </w:rPr>
        <w:t xml:space="preserve"> en el Bicentenario</w:t>
      </w:r>
      <w:r>
        <w:t xml:space="preserve">, </w:t>
      </w:r>
      <w:r w:rsidR="004C5340">
        <w:t xml:space="preserve">Santiago, Debate. </w:t>
      </w:r>
    </w:p>
    <w:p w14:paraId="6AE2EE0D" w14:textId="77777777" w:rsidR="004C5340" w:rsidRPr="008A44AC" w:rsidRDefault="004C5340" w:rsidP="0087176C"/>
    <w:p w14:paraId="1ED35153" w14:textId="77777777" w:rsidR="00FA147F" w:rsidRDefault="00FA147F" w:rsidP="00FA147F">
      <w:r>
        <w:t>Garreton, Manuel Antonio (2013a). « El nuevo esfuerzo : Plebi</w:t>
      </w:r>
      <w:r w:rsidR="00403A52">
        <w:t xml:space="preserve">scito para una nueva </w:t>
      </w:r>
      <w:r w:rsidR="00403A52" w:rsidRPr="00DF0023">
        <w:t>Constitució</w:t>
      </w:r>
      <w:r w:rsidRPr="00DF0023">
        <w:t>n</w:t>
      </w:r>
      <w:r>
        <w:t xml:space="preserve"> », dans El Desconcierto.cl (2013), </w:t>
      </w:r>
      <w:r>
        <w:rPr>
          <w:i/>
        </w:rPr>
        <w:t>Plebi</w:t>
      </w:r>
      <w:r w:rsidR="00403A52">
        <w:rPr>
          <w:i/>
        </w:rPr>
        <w:t xml:space="preserve">scito para una nueva </w:t>
      </w:r>
      <w:r w:rsidR="00403A52" w:rsidRPr="00DF0023">
        <w:rPr>
          <w:i/>
        </w:rPr>
        <w:t>Constitució</w:t>
      </w:r>
      <w:r w:rsidRPr="00DF0023">
        <w:rPr>
          <w:i/>
        </w:rPr>
        <w:t>n</w:t>
      </w:r>
      <w:r w:rsidRPr="00DF0023">
        <w:t>,</w:t>
      </w:r>
      <w:r w:rsidR="00403A52">
        <w:t xml:space="preserve"> </w:t>
      </w:r>
      <w:r w:rsidR="00403A52" w:rsidRPr="00DF0023">
        <w:t>Fundació</w:t>
      </w:r>
      <w:r w:rsidRPr="00DF0023">
        <w:t>n</w:t>
      </w:r>
      <w:r>
        <w:t xml:space="preserve"> Friedrich Ebert, Santiago, 30-34. </w:t>
      </w:r>
    </w:p>
    <w:p w14:paraId="2BE3A682" w14:textId="77777777" w:rsidR="00FA147F" w:rsidRPr="004276F7" w:rsidRDefault="00FA147F" w:rsidP="00FA147F"/>
    <w:p w14:paraId="57779C65" w14:textId="77777777" w:rsidR="00FA147F" w:rsidRDefault="00FA147F" w:rsidP="00FA147F">
      <w:r>
        <w:t>Garreton, Manuel Antonio (2013b). « </w:t>
      </w:r>
      <w:r w:rsidR="001C4AC4">
        <w:t>40 ans après le coup d’État au Chili</w:t>
      </w:r>
      <w:r>
        <w:t>. Part</w:t>
      </w:r>
      <w:r w:rsidR="001C4AC4">
        <w:t>ie</w:t>
      </w:r>
      <w:r>
        <w:t xml:space="preserve">1 : La </w:t>
      </w:r>
      <w:r w:rsidR="001C4AC4">
        <w:t>sociologie pendant la dictature</w:t>
      </w:r>
      <w:r>
        <w:t xml:space="preserve">», </w:t>
      </w:r>
      <w:r w:rsidR="001C4AC4">
        <w:rPr>
          <w:i/>
        </w:rPr>
        <w:t>Dialogue</w:t>
      </w:r>
      <w:r>
        <w:rPr>
          <w:i/>
        </w:rPr>
        <w:t xml:space="preserve"> Global</w:t>
      </w:r>
      <w:r>
        <w:t xml:space="preserve">, vol. 3, no 5, </w:t>
      </w:r>
      <w:r w:rsidR="001C4AC4">
        <w:t xml:space="preserve">novembre 2013, </w:t>
      </w:r>
      <w:r>
        <w:t>4-</w:t>
      </w:r>
      <w:r w:rsidR="001C4AC4">
        <w:t>7</w:t>
      </w:r>
      <w:r>
        <w:t xml:space="preserve">. </w:t>
      </w:r>
    </w:p>
    <w:p w14:paraId="22B7C05C" w14:textId="77777777" w:rsidR="00FA147F" w:rsidRDefault="00FA147F" w:rsidP="00FA147F"/>
    <w:p w14:paraId="7E5B51F3" w14:textId="77777777" w:rsidR="00FA147F" w:rsidRPr="00784040" w:rsidRDefault="00FA147F" w:rsidP="00FA147F">
      <w:pPr>
        <w:rPr>
          <w:lang w:val="fr-FR"/>
        </w:rPr>
      </w:pPr>
      <w:r>
        <w:t xml:space="preserve">Garreton, Manuel Antonio (2013c). </w:t>
      </w:r>
      <w:r>
        <w:rPr>
          <w:lang w:val="fr-FR"/>
        </w:rPr>
        <w:t>“</w:t>
      </w:r>
      <w:r w:rsidR="00153950">
        <w:rPr>
          <w:lang w:val="fr-FR"/>
        </w:rPr>
        <w:t>El pensamiento de la izquierda en Chile y su ro</w:t>
      </w:r>
      <w:r w:rsidR="00403A52">
        <w:rPr>
          <w:lang w:val="fr-FR"/>
        </w:rPr>
        <w:t xml:space="preserve">l en el proceso de </w:t>
      </w:r>
      <w:r w:rsidR="00403A52" w:rsidRPr="00DF0023">
        <w:rPr>
          <w:lang w:val="fr-FR"/>
        </w:rPr>
        <w:t>profundizació</w:t>
      </w:r>
      <w:r w:rsidR="00153950" w:rsidRPr="00DF0023">
        <w:rPr>
          <w:lang w:val="fr-FR"/>
        </w:rPr>
        <w:t>n democr</w:t>
      </w:r>
      <w:r w:rsidR="00403A52" w:rsidRPr="00DF0023">
        <w:rPr>
          <w:lang w:val="fr-FR"/>
        </w:rPr>
        <w:t>á</w:t>
      </w:r>
      <w:r w:rsidR="00153950" w:rsidRPr="00DF0023">
        <w:rPr>
          <w:lang w:val="fr-FR"/>
        </w:rPr>
        <w:t>tico</w:t>
      </w:r>
      <w:r>
        <w:rPr>
          <w:lang w:val="fr-FR"/>
        </w:rPr>
        <w:t>”, intervention dans un Foro or</w:t>
      </w:r>
      <w:r w:rsidR="00403A52">
        <w:rPr>
          <w:lang w:val="fr-FR"/>
        </w:rPr>
        <w:t xml:space="preserve">ganisé par le Centro de </w:t>
      </w:r>
      <w:r w:rsidR="00403A52" w:rsidRPr="00DF0023">
        <w:rPr>
          <w:lang w:val="fr-FR"/>
        </w:rPr>
        <w:t>Formació</w:t>
      </w:r>
      <w:r w:rsidRPr="00DF0023">
        <w:rPr>
          <w:lang w:val="fr-FR"/>
        </w:rPr>
        <w:t>n</w:t>
      </w:r>
      <w:r>
        <w:rPr>
          <w:lang w:val="fr-FR"/>
        </w:rPr>
        <w:t xml:space="preserve"> Memoria y Futuro (CFMF) et tenu à Santiago le 25 septembre 2013, 7 p. </w:t>
      </w:r>
    </w:p>
    <w:p w14:paraId="1063D0E4" w14:textId="77777777" w:rsidR="00FA147F" w:rsidRDefault="00FA147F" w:rsidP="0087176C"/>
    <w:p w14:paraId="605166CF" w14:textId="77777777" w:rsidR="001C4AC4" w:rsidRDefault="001C4AC4" w:rsidP="001C4AC4">
      <w:r>
        <w:t xml:space="preserve">Garreton, Manuel Antonio (2014a). « 40 ans après le coup d’État au Chili. Partie 2 : Les défis de la transition démocratique », </w:t>
      </w:r>
      <w:r>
        <w:rPr>
          <w:i/>
        </w:rPr>
        <w:t>Dialogue Global</w:t>
      </w:r>
      <w:r>
        <w:t xml:space="preserve">, vol. 4, no 1, mars 2014, 12-14. </w:t>
      </w:r>
    </w:p>
    <w:p w14:paraId="2DE204F1" w14:textId="77777777" w:rsidR="001C4AC4" w:rsidRDefault="001C4AC4" w:rsidP="00FA147F"/>
    <w:p w14:paraId="52E4610D" w14:textId="77777777" w:rsidR="00FA147F" w:rsidRPr="00972D14" w:rsidRDefault="00FA147F" w:rsidP="00FA147F">
      <w:r>
        <w:t>Garreton, Manuel Antonio (2014</w:t>
      </w:r>
      <w:r w:rsidR="001C4AC4">
        <w:t>b</w:t>
      </w:r>
      <w:r>
        <w:t>). « </w:t>
      </w:r>
      <w:r w:rsidRPr="00972D14">
        <w:t xml:space="preserve">Plebiscito para una Asamblea </w:t>
      </w:r>
    </w:p>
    <w:p w14:paraId="1E6BFED9" w14:textId="77777777" w:rsidR="00FA147F" w:rsidRDefault="00FA147F" w:rsidP="00FA147F">
      <w:r w:rsidRPr="00972D14">
        <w:t>Constituyente</w:t>
      </w:r>
      <w:r>
        <w:t xml:space="preserve"> », </w:t>
      </w:r>
      <w:r>
        <w:rPr>
          <w:i/>
        </w:rPr>
        <w:t xml:space="preserve">Le Monde diplomatique </w:t>
      </w:r>
      <w:r>
        <w:t>(édition en espagnol)</w:t>
      </w:r>
      <w:r>
        <w:rPr>
          <w:i/>
        </w:rPr>
        <w:t xml:space="preserve">, </w:t>
      </w:r>
      <w:r>
        <w:t>avril 2014.</w:t>
      </w:r>
    </w:p>
    <w:p w14:paraId="301C9D7B" w14:textId="77777777" w:rsidR="0029649B" w:rsidRDefault="0029649B" w:rsidP="00FA147F"/>
    <w:p w14:paraId="54D23892" w14:textId="77777777" w:rsidR="00472D85" w:rsidRDefault="00472D85" w:rsidP="00472D85">
      <w:r>
        <w:t xml:space="preserve">Gaudichaud, Frank (2008). « Équateur : de la ‘révolution citoyenne’ à la transformation sociale radicale? », </w:t>
      </w:r>
      <w:r w:rsidRPr="0071197F">
        <w:rPr>
          <w:i/>
        </w:rPr>
        <w:t>Inprecor</w:t>
      </w:r>
      <w:r w:rsidRPr="0071197F">
        <w:t>, N°541, octobre 2008 (voir :</w:t>
      </w:r>
      <w:r>
        <w:rPr>
          <w:rFonts w:ascii="Verdana" w:eastAsia="Times New Roman" w:hAnsi="Verdana" w:cs="Times New Roman"/>
          <w:sz w:val="22"/>
          <w:szCs w:val="22"/>
        </w:rPr>
        <w:t xml:space="preserve"> </w:t>
      </w:r>
      <w:hyperlink r:id="rId13" w:tooltip="http://orta.dynalias.org/inprecor" w:history="1">
        <w:r>
          <w:rPr>
            <w:rStyle w:val="Lienhypertexte"/>
            <w:rFonts w:ascii="Verdana" w:eastAsia="Times New Roman" w:hAnsi="Verdana" w:cs="Times New Roman"/>
            <w:sz w:val="22"/>
            <w:szCs w:val="22"/>
          </w:rPr>
          <w:t>http://orta.dynalias.org/inprecor</w:t>
        </w:r>
      </w:hyperlink>
      <w:r>
        <w:rPr>
          <w:rFonts w:ascii="Verdana" w:eastAsia="Times New Roman" w:hAnsi="Verdana" w:cs="Times New Roman"/>
          <w:sz w:val="22"/>
          <w:szCs w:val="22"/>
        </w:rPr>
        <w:t>)</w:t>
      </w:r>
      <w:r>
        <w:rPr>
          <w:rFonts w:ascii="Verdana" w:eastAsia="Times New Roman" w:hAnsi="Verdana" w:cs="Times New Roman"/>
          <w:i/>
          <w:iCs/>
          <w:sz w:val="22"/>
          <w:szCs w:val="22"/>
        </w:rPr>
        <w:t>.</w:t>
      </w:r>
    </w:p>
    <w:p w14:paraId="1FD11E6B" w14:textId="77777777" w:rsidR="00472D85" w:rsidRDefault="00472D85" w:rsidP="0029649B"/>
    <w:p w14:paraId="3488BF7F" w14:textId="77777777" w:rsidR="0029649B" w:rsidRDefault="0029649B" w:rsidP="0029649B">
      <w:r>
        <w:t xml:space="preserve">Gaudichaud, Frank (2012). « La reconquête d’une destinée. Entrevue avec Frank Gaudichaud », </w:t>
      </w:r>
      <w:r>
        <w:rPr>
          <w:i/>
        </w:rPr>
        <w:t>Relations</w:t>
      </w:r>
      <w:r>
        <w:t xml:space="preserve">, no 754, février, 18-20. </w:t>
      </w:r>
    </w:p>
    <w:p w14:paraId="7D272FB1" w14:textId="77777777" w:rsidR="00E70206" w:rsidRDefault="00E70206" w:rsidP="0029649B"/>
    <w:p w14:paraId="635DA138" w14:textId="77777777" w:rsidR="00A00709" w:rsidRDefault="00A00709" w:rsidP="00A00709">
      <w:pPr>
        <w:rPr>
          <w:rStyle w:val="Lienhypertexte"/>
        </w:rPr>
      </w:pPr>
      <w:r>
        <w:t xml:space="preserve">Gaudichaud, Frank (2013). « Équateur : ‘révolution citoyenne’, modèle extractiviste et gauches critiques », </w:t>
      </w:r>
      <w:r>
        <w:rPr>
          <w:i/>
        </w:rPr>
        <w:t>Contre Temps</w:t>
      </w:r>
      <w:r>
        <w:t xml:space="preserve">, février 2013. Voir : </w:t>
      </w:r>
      <w:hyperlink r:id="rId14" w:history="1">
        <w:r w:rsidRPr="000E0A7C">
          <w:rPr>
            <w:rStyle w:val="Lienhypertexte"/>
          </w:rPr>
          <w:t>http://www.contretemps.eu/interventions/equateur-%C2%AB-revolution-citoyenne-%C2%BB-transformation-sociale-radicale</w:t>
        </w:r>
      </w:hyperlink>
    </w:p>
    <w:p w14:paraId="19FECE5E" w14:textId="77777777" w:rsidR="00D44B4C" w:rsidRDefault="00D44B4C" w:rsidP="00A00709">
      <w:pPr>
        <w:rPr>
          <w:rStyle w:val="Lienhypertexte"/>
        </w:rPr>
      </w:pPr>
    </w:p>
    <w:p w14:paraId="5F3FAAA3" w14:textId="77777777" w:rsidR="00D44B4C" w:rsidRDefault="00D44B4C" w:rsidP="00A00709">
      <w:r w:rsidRPr="00A8299A">
        <w:rPr>
          <w:bCs/>
          <w:lang w:val="fr-FR"/>
        </w:rPr>
        <w:t xml:space="preserve">Gobierno de Chile (2014). </w:t>
      </w:r>
      <w:r w:rsidR="000B69E6" w:rsidRPr="00A8299A">
        <w:rPr>
          <w:bCs/>
          <w:i/>
          <w:lang w:val="fr-FR"/>
        </w:rPr>
        <w:t>Agenda de Producción, Innovació</w:t>
      </w:r>
      <w:r w:rsidRPr="00A8299A">
        <w:rPr>
          <w:bCs/>
          <w:i/>
          <w:lang w:val="fr-FR"/>
        </w:rPr>
        <w:t>n y Crecimiento</w:t>
      </w:r>
      <w:r w:rsidRPr="00A8299A">
        <w:rPr>
          <w:bCs/>
          <w:lang w:val="fr-FR"/>
        </w:rPr>
        <w:t>, Santiago, mai 2014.</w:t>
      </w:r>
      <w:r>
        <w:rPr>
          <w:bCs/>
          <w:lang w:val="fr-FR"/>
        </w:rPr>
        <w:t xml:space="preserve"> </w:t>
      </w:r>
    </w:p>
    <w:p w14:paraId="28821BCA" w14:textId="77777777" w:rsidR="00A00709" w:rsidRDefault="00A00709" w:rsidP="00E70206">
      <w:pPr>
        <w:rPr>
          <w:bCs/>
          <w:lang w:val="fr-FR"/>
        </w:rPr>
      </w:pPr>
    </w:p>
    <w:p w14:paraId="2270CF6E" w14:textId="77777777" w:rsidR="00E70206" w:rsidRPr="00E70206" w:rsidRDefault="00E70206" w:rsidP="00E70206">
      <w:pPr>
        <w:rPr>
          <w:bCs/>
          <w:lang w:val="fr-FR"/>
        </w:rPr>
      </w:pPr>
      <w:r>
        <w:rPr>
          <w:bCs/>
          <w:lang w:val="fr-FR"/>
        </w:rPr>
        <w:t>Gret, M. et Y. Sintomer (</w:t>
      </w:r>
      <w:r>
        <w:rPr>
          <w:rFonts w:ascii="–áÿÔˇø‚k∆" w:hAnsi="–áÿÔˇø‚k∆" w:cs="–áÿÔˇø‚k∆"/>
          <w:lang w:val="fr-FR"/>
        </w:rPr>
        <w:t xml:space="preserve">2002). </w:t>
      </w:r>
      <w:r w:rsidRPr="00E70206">
        <w:rPr>
          <w:i/>
          <w:lang w:val="fr-FR"/>
        </w:rPr>
        <w:t>Porto Alegre. L’espoir d’une autre démocratie</w:t>
      </w:r>
      <w:r w:rsidRPr="00E70206">
        <w:rPr>
          <w:bCs/>
          <w:lang w:val="fr-FR"/>
        </w:rPr>
        <w:t>,</w:t>
      </w:r>
      <w:r>
        <w:rPr>
          <w:b/>
          <w:bCs/>
          <w:lang w:val="fr-FR"/>
        </w:rPr>
        <w:t xml:space="preserve"> </w:t>
      </w:r>
      <w:r w:rsidRPr="00E70206">
        <w:rPr>
          <w:bCs/>
          <w:lang w:val="fr-FR"/>
        </w:rPr>
        <w:t>La</w:t>
      </w:r>
    </w:p>
    <w:p w14:paraId="5CD26788" w14:textId="77777777" w:rsidR="00E70206" w:rsidRPr="00E70206" w:rsidRDefault="00E70206" w:rsidP="00E70206">
      <w:r w:rsidRPr="00E70206">
        <w:rPr>
          <w:bCs/>
          <w:lang w:val="fr-FR"/>
        </w:rPr>
        <w:t>Découverte, Paris.</w:t>
      </w:r>
    </w:p>
    <w:p w14:paraId="0EDAAB92" w14:textId="77777777" w:rsidR="00CF1EED" w:rsidRPr="00E70206" w:rsidRDefault="00CF1EED" w:rsidP="0029649B"/>
    <w:p w14:paraId="75F4A760" w14:textId="77777777" w:rsidR="009F5CB7" w:rsidRPr="00DB2ED1" w:rsidRDefault="009F5CB7" w:rsidP="009F5CB7">
      <w:pPr>
        <w:rPr>
          <w:lang w:val="en-CA"/>
        </w:rPr>
      </w:pPr>
      <w:r>
        <w:lastRenderedPageBreak/>
        <w:t xml:space="preserve">Gudynas, Eduardo (2011). « Desarrollo, extractivismo y buen vivir », dans Miriam Lang y Dunia Mokrani (Compiladoras) (2011). </w:t>
      </w:r>
      <w:r w:rsidR="00403A52" w:rsidRPr="00DB2ED1">
        <w:rPr>
          <w:i/>
          <w:lang w:val="en-CA"/>
        </w:rPr>
        <w:t>Más allá</w:t>
      </w:r>
      <w:r w:rsidRPr="00DB2ED1">
        <w:rPr>
          <w:i/>
          <w:lang w:val="en-CA"/>
        </w:rPr>
        <w:t xml:space="preserve"> del desarrollo</w:t>
      </w:r>
      <w:r w:rsidR="000B69E6" w:rsidRPr="00DB2ED1">
        <w:rPr>
          <w:lang w:val="en-CA"/>
        </w:rPr>
        <w:t>, Fundació</w:t>
      </w:r>
      <w:r w:rsidRPr="00DB2ED1">
        <w:rPr>
          <w:lang w:val="en-CA"/>
        </w:rPr>
        <w:t>n Rosa Luxemburg y Ediciones Abya Yala, Quito, 21-53.</w:t>
      </w:r>
    </w:p>
    <w:p w14:paraId="45C5F593" w14:textId="77777777" w:rsidR="009F5CB7" w:rsidRPr="00DB2ED1" w:rsidRDefault="009F5CB7" w:rsidP="009F5CB7">
      <w:pPr>
        <w:rPr>
          <w:lang w:val="en-CA"/>
        </w:rPr>
      </w:pPr>
    </w:p>
    <w:p w14:paraId="566AF13A" w14:textId="77777777" w:rsidR="009F5CB7" w:rsidRDefault="009F5CB7" w:rsidP="009F5CB7">
      <w:r w:rsidRPr="00DB2ED1">
        <w:rPr>
          <w:lang w:val="en-CA"/>
        </w:rPr>
        <w:t xml:space="preserve">Gudynas, Eduardo (2013a). </w:t>
      </w:r>
      <w:r>
        <w:t>« Brasil, el extr</w:t>
      </w:r>
      <w:r w:rsidR="00403A52">
        <w:t xml:space="preserve">activista </w:t>
      </w:r>
      <w:r w:rsidR="00403A52" w:rsidRPr="00DF0023">
        <w:t>má</w:t>
      </w:r>
      <w:r w:rsidRPr="00DF0023">
        <w:t>s</w:t>
      </w:r>
      <w:r>
        <w:t xml:space="preserve"> grande del continente », </w:t>
      </w:r>
      <w:r w:rsidR="000B69E6">
        <w:rPr>
          <w:i/>
        </w:rPr>
        <w:t xml:space="preserve">Nueva </w:t>
      </w:r>
      <w:r w:rsidR="000B69E6" w:rsidRPr="00A8299A">
        <w:rPr>
          <w:i/>
        </w:rPr>
        <w:t>Cró</w:t>
      </w:r>
      <w:r w:rsidRPr="00A8299A">
        <w:rPr>
          <w:i/>
        </w:rPr>
        <w:t>nica</w:t>
      </w:r>
      <w:r w:rsidRPr="00A8299A">
        <w:t>,</w:t>
      </w:r>
      <w:r>
        <w:t xml:space="preserve"> no 124, mayo 2013, 14.</w:t>
      </w:r>
    </w:p>
    <w:p w14:paraId="5FB51C54" w14:textId="77777777" w:rsidR="009F5CB7" w:rsidRDefault="009F5CB7" w:rsidP="009F5CB7"/>
    <w:p w14:paraId="420CAFB0" w14:textId="77777777" w:rsidR="009F5CB7" w:rsidRDefault="009F5CB7" w:rsidP="009F5CB7">
      <w:r>
        <w:t>Gudynas, Eduardo (2013b). « </w:t>
      </w:r>
      <w:r w:rsidRPr="00CF2C3A">
        <w:t>Los derechos de la naturaleza después de la caída de la moratoria petrolera en la Amazonia</w:t>
      </w:r>
      <w:r>
        <w:t xml:space="preserve"> », </w:t>
      </w:r>
      <w:r>
        <w:rPr>
          <w:i/>
        </w:rPr>
        <w:t>ALAI</w:t>
      </w:r>
      <w:r>
        <w:t xml:space="preserve">, 19 août 2013. </w:t>
      </w:r>
    </w:p>
    <w:p w14:paraId="7BBCBF5C" w14:textId="77777777" w:rsidR="009F5CB7" w:rsidRDefault="009F5CB7" w:rsidP="009F5CB7"/>
    <w:p w14:paraId="1306371E" w14:textId="77777777" w:rsidR="009F5CB7" w:rsidRDefault="009F5CB7" w:rsidP="009F5CB7">
      <w:r>
        <w:t xml:space="preserve">Gudynas, Eduardo (2013c). « Izquierda y progresismo : la gran divergencia », </w:t>
      </w:r>
      <w:r>
        <w:rPr>
          <w:i/>
        </w:rPr>
        <w:t>ALAI</w:t>
      </w:r>
      <w:r>
        <w:t xml:space="preserve">, 24 décembre 2013. </w:t>
      </w:r>
    </w:p>
    <w:p w14:paraId="707D35C3" w14:textId="77777777" w:rsidR="006A1FCB" w:rsidRDefault="006A1FCB" w:rsidP="009F5CB7"/>
    <w:p w14:paraId="0E847F11" w14:textId="77777777" w:rsidR="006A1FCB" w:rsidRPr="00DB2ED1" w:rsidRDefault="006A1FCB" w:rsidP="009F5CB7">
      <w:pPr>
        <w:rPr>
          <w:lang w:val="en-CA"/>
        </w:rPr>
      </w:pPr>
      <w:r>
        <w:t>Guerra, Pablo (2012). « </w:t>
      </w:r>
      <w:r w:rsidR="00403A52" w:rsidRPr="00DF0023">
        <w:t>Las legislaciones sobre economía social y solidaria en América Latina entre la autogestión y la visión sectorial</w:t>
      </w:r>
      <w:r>
        <w:t xml:space="preserve"> »,  </w:t>
      </w:r>
      <w:r>
        <w:rPr>
          <w:i/>
        </w:rPr>
        <w:t>Revista de la Facultad de Derecho</w:t>
      </w:r>
      <w:r>
        <w:t xml:space="preserve">, </w:t>
      </w:r>
      <w:r w:rsidRPr="00980215">
        <w:t>Universidad de la República.  </w:t>
      </w:r>
      <w:r w:rsidRPr="00DB2ED1">
        <w:rPr>
          <w:lang w:val="en-CA"/>
        </w:rPr>
        <w:t xml:space="preserve">Montevideo, Uruguay, no 33.  </w:t>
      </w:r>
      <w:hyperlink r:id="rId15" w:history="1">
        <w:r w:rsidRPr="00DB2ED1">
          <w:rPr>
            <w:rStyle w:val="Lienhypertexte"/>
            <w:lang w:val="en-CA"/>
          </w:rPr>
          <w:t>http://revista.fder.edu.uy/index.php/RD/article/view/8</w:t>
        </w:r>
      </w:hyperlink>
      <w:r w:rsidRPr="00DB2ED1">
        <w:rPr>
          <w:lang w:val="en-CA"/>
        </w:rPr>
        <w:t xml:space="preserve">. </w:t>
      </w:r>
    </w:p>
    <w:p w14:paraId="0C0B6128" w14:textId="77777777" w:rsidR="006F7A92" w:rsidRPr="00DB2ED1" w:rsidRDefault="006F7A92" w:rsidP="009F5CB7">
      <w:pPr>
        <w:rPr>
          <w:lang w:val="en-CA"/>
        </w:rPr>
      </w:pPr>
    </w:p>
    <w:p w14:paraId="2B9AF4EE" w14:textId="77777777" w:rsidR="006F7A92" w:rsidRDefault="006F7A92" w:rsidP="006F7A92">
      <w:r>
        <w:t xml:space="preserve">Harnecker, Marta (2011). </w:t>
      </w:r>
      <w:r>
        <w:rPr>
          <w:i/>
        </w:rPr>
        <w:t>Ecuador : una nueva izquierda en busca de la vida en plenitud</w:t>
      </w:r>
      <w:r>
        <w:t>.</w:t>
      </w:r>
    </w:p>
    <w:p w14:paraId="72B3072E" w14:textId="77777777" w:rsidR="001C4179" w:rsidRDefault="001C4179" w:rsidP="009F5CB7"/>
    <w:p w14:paraId="59275CCE" w14:textId="77777777" w:rsidR="001C4179" w:rsidRDefault="00403A52" w:rsidP="009F5CB7">
      <w:r w:rsidRPr="00DF0023">
        <w:t>Hernández</w:t>
      </w:r>
      <w:r>
        <w:t xml:space="preserve">, José (2014). « El </w:t>
      </w:r>
      <w:r w:rsidRPr="00DF0023">
        <w:t>ejé</w:t>
      </w:r>
      <w:r w:rsidR="001C4179" w:rsidRPr="00DF0023">
        <w:t>rcito</w:t>
      </w:r>
      <w:r w:rsidR="001C4179">
        <w:t xml:space="preserve"> de sombras de Correa », </w:t>
      </w:r>
      <w:r w:rsidR="001C4179">
        <w:rPr>
          <w:i/>
        </w:rPr>
        <w:t>Hoy</w:t>
      </w:r>
      <w:r w:rsidR="001C4179">
        <w:t xml:space="preserve">, 27 février 2014. </w:t>
      </w:r>
    </w:p>
    <w:p w14:paraId="562036A8" w14:textId="77777777" w:rsidR="00E42ECE" w:rsidRDefault="00E42ECE" w:rsidP="009F5CB7"/>
    <w:p w14:paraId="2CDDB37C" w14:textId="77777777" w:rsidR="00E42ECE" w:rsidRDefault="00403A52" w:rsidP="009F5CB7">
      <w:r>
        <w:t>Herná</w:t>
      </w:r>
      <w:r w:rsidR="00E42ECE">
        <w:t>ndez Navarro, Luis (2014</w:t>
      </w:r>
      <w:r>
        <w:t xml:space="preserve">). « Luis Villoro y la </w:t>
      </w:r>
      <w:r w:rsidRPr="00DF0023">
        <w:t>afirmació</w:t>
      </w:r>
      <w:r w:rsidR="00E42ECE" w:rsidRPr="00DF0023">
        <w:t xml:space="preserve">n del ‘No’ », </w:t>
      </w:r>
      <w:r w:rsidR="00E42ECE" w:rsidRPr="00DF0023">
        <w:rPr>
          <w:i/>
        </w:rPr>
        <w:t>La Jornada</w:t>
      </w:r>
      <w:r w:rsidR="00E42ECE" w:rsidRPr="00DF0023">
        <w:t>, 11 mars 2014</w:t>
      </w:r>
      <w:r w:rsidR="00E42ECE" w:rsidRPr="00DF0023">
        <w:rPr>
          <w:highlight w:val="yellow"/>
        </w:rPr>
        <w:t>.</w:t>
      </w:r>
      <w:r w:rsidR="00E42ECE">
        <w:t xml:space="preserve"> </w:t>
      </w:r>
    </w:p>
    <w:p w14:paraId="503B5777" w14:textId="77777777" w:rsidR="0041161B" w:rsidRDefault="0041161B" w:rsidP="009F5CB7"/>
    <w:p w14:paraId="0F974BA5" w14:textId="77777777" w:rsidR="0041161B" w:rsidRDefault="0041161B" w:rsidP="0041161B">
      <w:r w:rsidRPr="00A8299A">
        <w:t xml:space="preserve">Hillenkamp, Isabelle (2013). </w:t>
      </w:r>
      <w:r w:rsidRPr="00A8299A">
        <w:rPr>
          <w:i/>
        </w:rPr>
        <w:t>L’économie solidaire en Bolivie. Entre marché et démocratie</w:t>
      </w:r>
      <w:r w:rsidR="00A8299A" w:rsidRPr="00A8299A">
        <w:t>, Paris, Karthala.</w:t>
      </w:r>
    </w:p>
    <w:p w14:paraId="3A3DC37F" w14:textId="77777777" w:rsidR="0041161B" w:rsidRDefault="0041161B" w:rsidP="009F5CB7"/>
    <w:p w14:paraId="6E81AEB5" w14:textId="77777777" w:rsidR="00824BA2" w:rsidRPr="00607488" w:rsidRDefault="00824BA2" w:rsidP="009F5CB7">
      <w:r>
        <w:t xml:space="preserve">Houtart, François (2014). </w:t>
      </w:r>
      <w:r w:rsidR="00607488">
        <w:t xml:space="preserve">« Des foyers de résistance », </w:t>
      </w:r>
      <w:r w:rsidR="00607488">
        <w:rPr>
          <w:i/>
        </w:rPr>
        <w:t>Relations</w:t>
      </w:r>
      <w:r w:rsidR="00607488">
        <w:t>, no 770, février, 26-27.</w:t>
      </w:r>
    </w:p>
    <w:p w14:paraId="00185237" w14:textId="77777777" w:rsidR="00DE48A7" w:rsidRDefault="00DE48A7" w:rsidP="0029649B"/>
    <w:p w14:paraId="4016B038" w14:textId="77777777" w:rsidR="009E4144" w:rsidRPr="00DB2ED1" w:rsidRDefault="009E4144" w:rsidP="0029649B">
      <w:pPr>
        <w:rPr>
          <w:lang w:val="en-CA"/>
        </w:rPr>
      </w:pPr>
      <w:r w:rsidRPr="00FA52AC">
        <w:rPr>
          <w:highlight w:val="yellow"/>
        </w:rPr>
        <w:t xml:space="preserve">Instituto de Estudios para la Transicion Democratica (IETD) (2014). </w:t>
      </w:r>
      <w:r w:rsidRPr="00DB2ED1">
        <w:rPr>
          <w:i/>
          <w:highlight w:val="yellow"/>
          <w:lang w:val="en-CA"/>
        </w:rPr>
        <w:t>México : Las ruinas del futuro</w:t>
      </w:r>
      <w:r w:rsidRPr="00DB2ED1">
        <w:rPr>
          <w:highlight w:val="yellow"/>
          <w:lang w:val="en-CA"/>
        </w:rPr>
        <w:t>, IETD, México D.F.</w:t>
      </w:r>
      <w:r w:rsidR="00FA52AC" w:rsidRPr="00DB2ED1">
        <w:rPr>
          <w:highlight w:val="yellow"/>
          <w:lang w:val="en-CA"/>
        </w:rPr>
        <w:t>, 18 novembre.</w:t>
      </w:r>
    </w:p>
    <w:p w14:paraId="41731C94" w14:textId="77777777" w:rsidR="009E4144" w:rsidRPr="00DB2ED1" w:rsidRDefault="009E4144" w:rsidP="0029649B">
      <w:pPr>
        <w:rPr>
          <w:lang w:val="en-CA"/>
        </w:rPr>
      </w:pPr>
    </w:p>
    <w:p w14:paraId="781C1EC6" w14:textId="77777777" w:rsidR="00742512" w:rsidRDefault="00742512" w:rsidP="0029649B">
      <w:r>
        <w:t xml:space="preserve">Jetté, Christian (2008). </w:t>
      </w:r>
      <w:r>
        <w:rPr>
          <w:i/>
        </w:rPr>
        <w:t xml:space="preserve">Les organisations communautaires et la transformation de l’État-providence. Trois décennies de coconstruction des politiques publiques dans le domaine de la santé et des services sociaux, </w:t>
      </w:r>
      <w:r>
        <w:t>Québec, Presses de l’Université du Québec.</w:t>
      </w:r>
    </w:p>
    <w:p w14:paraId="69D576EE" w14:textId="77777777" w:rsidR="00742512" w:rsidRPr="00742512" w:rsidRDefault="00742512" w:rsidP="0029649B"/>
    <w:p w14:paraId="3D4082F8" w14:textId="77777777" w:rsidR="00DE48A7" w:rsidRPr="00DB2ED1" w:rsidRDefault="00DE48A7" w:rsidP="0029649B">
      <w:pPr>
        <w:rPr>
          <w:lang w:val="en-CA"/>
        </w:rPr>
      </w:pPr>
      <w:r>
        <w:t xml:space="preserve">Jetté, Christian et Yves Vaillancourt (2011). </w:t>
      </w:r>
      <w:r w:rsidRPr="00DB2ED1">
        <w:rPr>
          <w:lang w:val="en-CA"/>
        </w:rPr>
        <w:t xml:space="preserve">« Social Economy and Home Care Services in Quebec : Co-Production or Co-Construction », </w:t>
      </w:r>
      <w:r w:rsidR="00742512" w:rsidRPr="00DB2ED1">
        <w:rPr>
          <w:i/>
          <w:lang w:val="en-CA"/>
        </w:rPr>
        <w:t>Voluntas : International Journal of Voluntary and Non-profit Organizations</w:t>
      </w:r>
      <w:r w:rsidR="00742512" w:rsidRPr="00DB2ED1">
        <w:rPr>
          <w:lang w:val="en-CA"/>
        </w:rPr>
        <w:t xml:space="preserve">, vol. 22, no 1, 48-69. </w:t>
      </w:r>
    </w:p>
    <w:p w14:paraId="6EED3D42" w14:textId="77777777" w:rsidR="00AA6C81" w:rsidRPr="00DB2ED1" w:rsidRDefault="00AA6C81" w:rsidP="0029649B">
      <w:pPr>
        <w:rPr>
          <w:lang w:val="en-CA"/>
        </w:rPr>
      </w:pPr>
    </w:p>
    <w:p w14:paraId="1E53ECAA" w14:textId="77777777" w:rsidR="00AA6C81" w:rsidRDefault="00AA6C81" w:rsidP="00AA6C81">
      <w:r>
        <w:t xml:space="preserve">De La Fuente, Manuel (2013). « Bolivia y sus vecinos andinos », </w:t>
      </w:r>
      <w:r w:rsidR="006349F2">
        <w:rPr>
          <w:i/>
        </w:rPr>
        <w:t xml:space="preserve">Nueva </w:t>
      </w:r>
      <w:r w:rsidR="006349F2" w:rsidRPr="00A8299A">
        <w:rPr>
          <w:i/>
        </w:rPr>
        <w:t>Cró</w:t>
      </w:r>
      <w:r w:rsidRPr="00A8299A">
        <w:rPr>
          <w:i/>
        </w:rPr>
        <w:t>nica</w:t>
      </w:r>
      <w:r>
        <w:rPr>
          <w:i/>
        </w:rPr>
        <w:t xml:space="preserve"> y Buen Gobierno</w:t>
      </w:r>
      <w:r>
        <w:t xml:space="preserve">, no 124, mai, 13. </w:t>
      </w:r>
    </w:p>
    <w:p w14:paraId="14AAE797" w14:textId="77777777" w:rsidR="00536E4A" w:rsidRDefault="00536E4A" w:rsidP="00AA6C81"/>
    <w:p w14:paraId="7B833750" w14:textId="77777777" w:rsidR="00536E4A" w:rsidRPr="008857FC" w:rsidRDefault="00536E4A" w:rsidP="00AA6C81">
      <w:r>
        <w:t xml:space="preserve">La Jornada (2014). « Ayotzinapa : dos meses », </w:t>
      </w:r>
      <w:r w:rsidR="008857FC">
        <w:t xml:space="preserve">[éditorial], </w:t>
      </w:r>
      <w:r w:rsidR="008857FC">
        <w:rPr>
          <w:i/>
        </w:rPr>
        <w:t>La Jornada</w:t>
      </w:r>
      <w:r w:rsidR="008857FC">
        <w:t>, 27 novembre 2014.</w:t>
      </w:r>
    </w:p>
    <w:p w14:paraId="73EDDF63" w14:textId="77777777" w:rsidR="0038725F" w:rsidRDefault="0038725F" w:rsidP="0029649B"/>
    <w:p w14:paraId="079FC564" w14:textId="77777777" w:rsidR="0038725F" w:rsidRPr="00DB2ED1" w:rsidRDefault="0038725F" w:rsidP="0029649B">
      <w:pPr>
        <w:rPr>
          <w:lang w:val="en-CA"/>
        </w:rPr>
      </w:pPr>
      <w:r>
        <w:lastRenderedPageBreak/>
        <w:t xml:space="preserve">Lalander, Richard et Pablo Ospina Peralta (2012). </w:t>
      </w:r>
      <w:r w:rsidRPr="00DB2ED1">
        <w:rPr>
          <w:lang w:val="en-CA"/>
        </w:rPr>
        <w:t>« </w:t>
      </w:r>
      <w:r w:rsidR="00403A52" w:rsidRPr="00DB2ED1">
        <w:rPr>
          <w:lang w:val="en-CA"/>
        </w:rPr>
        <w:t>Movimiento indígena y revolució</w:t>
      </w:r>
      <w:r w:rsidRPr="00DB2ED1">
        <w:rPr>
          <w:lang w:val="en-CA"/>
        </w:rPr>
        <w:t xml:space="preserve">n ciudadana en Ecuador », </w:t>
      </w:r>
      <w:r w:rsidRPr="00DB2ED1">
        <w:rPr>
          <w:i/>
          <w:lang w:val="en-CA"/>
        </w:rPr>
        <w:t>Cuestiones Políticas</w:t>
      </w:r>
      <w:r w:rsidRPr="00DB2ED1">
        <w:rPr>
          <w:lang w:val="en-CA"/>
        </w:rPr>
        <w:t>, vol. 28, no 48, 13-50.</w:t>
      </w:r>
    </w:p>
    <w:p w14:paraId="17643A83" w14:textId="77777777" w:rsidR="00E774BE" w:rsidRPr="00DB2ED1" w:rsidRDefault="00E774BE" w:rsidP="0029649B">
      <w:pPr>
        <w:rPr>
          <w:lang w:val="en-CA"/>
        </w:rPr>
      </w:pPr>
    </w:p>
    <w:p w14:paraId="7B257B5E" w14:textId="77777777" w:rsidR="00E774BE" w:rsidRDefault="00403A52" w:rsidP="0029649B">
      <w:r>
        <w:t>Lang</w:t>
      </w:r>
      <w:r w:rsidR="00E774BE">
        <w:t xml:space="preserve">, Miriam et Dunia Mokrani (Compiladoras) (2011). </w:t>
      </w:r>
      <w:r>
        <w:rPr>
          <w:i/>
        </w:rPr>
        <w:t xml:space="preserve">Mas </w:t>
      </w:r>
      <w:r w:rsidRPr="004F2751">
        <w:rPr>
          <w:i/>
        </w:rPr>
        <w:t>allá</w:t>
      </w:r>
      <w:r w:rsidR="00E774BE">
        <w:rPr>
          <w:i/>
        </w:rPr>
        <w:t xml:space="preserve"> del desarrollo</w:t>
      </w:r>
      <w:r>
        <w:t xml:space="preserve">, </w:t>
      </w:r>
      <w:r w:rsidRPr="004F2751">
        <w:t>Fundació</w:t>
      </w:r>
      <w:r w:rsidR="00E774BE" w:rsidRPr="004F2751">
        <w:t>n</w:t>
      </w:r>
      <w:r w:rsidR="00E774BE">
        <w:t xml:space="preserve"> Rosa Luxemburg y Ediciones Abya Yala, Quito.</w:t>
      </w:r>
    </w:p>
    <w:p w14:paraId="67FAC5CC" w14:textId="77777777" w:rsidR="00F063A7" w:rsidRDefault="00F063A7" w:rsidP="0029649B"/>
    <w:p w14:paraId="1A831EAB" w14:textId="77777777" w:rsidR="00F063A7" w:rsidRDefault="00F063A7" w:rsidP="00F063A7">
      <w:r>
        <w:t xml:space="preserve">La Hora (2010). </w:t>
      </w:r>
      <w:r w:rsidRPr="00F0367B">
        <w:t xml:space="preserve">“Paco Moncayo advierte un proceso de concentración del poder en manos del Presidente”, </w:t>
      </w:r>
      <w:r w:rsidRPr="00F0367B">
        <w:rPr>
          <w:i/>
        </w:rPr>
        <w:t>La Hora</w:t>
      </w:r>
      <w:r w:rsidRPr="00F0367B">
        <w:t>, 9 septembre 2010.</w:t>
      </w:r>
    </w:p>
    <w:p w14:paraId="333C4DC1" w14:textId="77777777" w:rsidR="00F063A7" w:rsidRPr="00742512" w:rsidRDefault="00F063A7" w:rsidP="0029649B"/>
    <w:p w14:paraId="2B7FB177" w14:textId="77777777" w:rsidR="00C26757" w:rsidRPr="001C65ED" w:rsidRDefault="00C26757" w:rsidP="00C26757">
      <w:r w:rsidRPr="00473295">
        <w:t xml:space="preserve">La Tendencia (2011). </w:t>
      </w:r>
      <w:r w:rsidRPr="00473295">
        <w:rPr>
          <w:i/>
        </w:rPr>
        <w:t>Las izquierdas y la consulta del 7 de mayo</w:t>
      </w:r>
      <w:r w:rsidRPr="00473295">
        <w:t>, Quito, Mayo 2011, 25 p.</w:t>
      </w:r>
      <w:r w:rsidRPr="001C65ED">
        <w:t xml:space="preserve"> </w:t>
      </w:r>
    </w:p>
    <w:p w14:paraId="5CC7FF97" w14:textId="77777777" w:rsidR="00493ACA" w:rsidRDefault="00493ACA" w:rsidP="006B64A9"/>
    <w:p w14:paraId="7FA52A21" w14:textId="77777777" w:rsidR="00493ACA" w:rsidRDefault="00493ACA" w:rsidP="006B64A9">
      <w:r>
        <w:t xml:space="preserve">Le Coq, Akli (2007). « La transition démocratique au Chili », Université de Cergy-Pontoise, 5 p. </w:t>
      </w:r>
    </w:p>
    <w:p w14:paraId="7E4E31DD" w14:textId="77777777" w:rsidR="004F2751" w:rsidRDefault="00E744D6" w:rsidP="006B64A9">
      <w:hyperlink r:id="rId16" w:history="1">
        <w:r w:rsidR="004F2751" w:rsidRPr="007220D4">
          <w:rPr>
            <w:rStyle w:val="Lienhypertexte"/>
          </w:rPr>
          <w:t>http://ddata.over-blog.com/xxxyyy/1/68/76/76/Mes-travaux/La-transition-d-mocratique-au-Chili.pdf</w:t>
        </w:r>
      </w:hyperlink>
    </w:p>
    <w:p w14:paraId="18DBF17C" w14:textId="77777777" w:rsidR="003D05BC" w:rsidRDefault="003D05BC" w:rsidP="00177AB4"/>
    <w:p w14:paraId="48CBE1D0" w14:textId="77777777" w:rsidR="00250159" w:rsidRPr="005572EF" w:rsidRDefault="00250159" w:rsidP="00250159">
      <w:r w:rsidRPr="00A8299A">
        <w:t xml:space="preserve">Lemoine, Maurice (2014). « Coups d’État en douce », </w:t>
      </w:r>
      <w:r w:rsidRPr="00A8299A">
        <w:rPr>
          <w:i/>
        </w:rPr>
        <w:t>Le Monde diplomatique</w:t>
      </w:r>
      <w:r w:rsidRPr="00A8299A">
        <w:t>, no 725, août 2014, 1, 16-17.</w:t>
      </w:r>
    </w:p>
    <w:p w14:paraId="50A2B224" w14:textId="77777777" w:rsidR="00250159" w:rsidRDefault="00250159" w:rsidP="00177AB4"/>
    <w:p w14:paraId="0C98F728" w14:textId="77777777" w:rsidR="00564EA1" w:rsidRDefault="00403A52" w:rsidP="00177AB4">
      <w:r w:rsidRPr="004F2751">
        <w:t>Leó</w:t>
      </w:r>
      <w:r w:rsidR="00564EA1" w:rsidRPr="004F2751">
        <w:t>n</w:t>
      </w:r>
      <w:r w:rsidR="00564EA1">
        <w:t xml:space="preserve"> Trujillo, </w:t>
      </w:r>
      <w:r w:rsidR="00564EA1" w:rsidRPr="00B26D82">
        <w:t xml:space="preserve">Jorge </w:t>
      </w:r>
      <w:r w:rsidR="00564EA1">
        <w:t>(2009). « </w:t>
      </w:r>
      <w:r w:rsidR="00564EA1" w:rsidRPr="00A160FE">
        <w:t>La nueva constitución  del Ecuador,  2008: su proceso de definición  y los cambios institucionales</w:t>
      </w:r>
      <w:r w:rsidR="00564EA1">
        <w:rPr>
          <w:rFonts w:ascii="Verdana" w:eastAsia="Times New Roman" w:hAnsi="Verdana" w:cs="Times New Roman"/>
          <w:sz w:val="18"/>
          <w:szCs w:val="18"/>
        </w:rPr>
        <w:t> »,</w:t>
      </w:r>
      <w:r w:rsidR="00564EA1">
        <w:rPr>
          <w:rFonts w:eastAsia="Times New Roman" w:cs="Times New Roman"/>
        </w:rPr>
        <w:t xml:space="preserve"> </w:t>
      </w:r>
      <w:r w:rsidR="00564EA1">
        <w:t xml:space="preserve">dans </w:t>
      </w:r>
      <w:r w:rsidR="006349F2">
        <w:t xml:space="preserve">Lizandra </w:t>
      </w:r>
      <w:r w:rsidR="006349F2" w:rsidRPr="00A8299A">
        <w:t>Serafí</w:t>
      </w:r>
      <w:r w:rsidR="00564EA1" w:rsidRPr="00A8299A">
        <w:t>n</w:t>
      </w:r>
      <w:r w:rsidR="00564EA1" w:rsidRPr="00E365F1">
        <w:t xml:space="preserve"> y José Antonio Moroni</w:t>
      </w:r>
      <w:r w:rsidR="00564EA1">
        <w:t xml:space="preserve"> (Eds),</w:t>
      </w:r>
      <w:r w:rsidR="00564EA1">
        <w:rPr>
          <w:rFonts w:eastAsia="Times New Roman" w:cs="Times New Roman"/>
        </w:rPr>
        <w:t xml:space="preserve"> </w:t>
      </w:r>
      <w:r w:rsidR="00564EA1">
        <w:t xml:space="preserve"> </w:t>
      </w:r>
      <w:r w:rsidR="00564EA1" w:rsidRPr="00F74363">
        <w:rPr>
          <w:i/>
        </w:rPr>
        <w:t>S</w:t>
      </w:r>
      <w:r w:rsidR="00564EA1">
        <w:rPr>
          <w:i/>
        </w:rPr>
        <w:t>ociedad civil y nu</w:t>
      </w:r>
      <w:r>
        <w:rPr>
          <w:i/>
        </w:rPr>
        <w:t xml:space="preserve">evas institucionalidades </w:t>
      </w:r>
      <w:r w:rsidRPr="004F2751">
        <w:rPr>
          <w:i/>
        </w:rPr>
        <w:t>democrá</w:t>
      </w:r>
      <w:r w:rsidR="00564EA1" w:rsidRPr="004F2751">
        <w:rPr>
          <w:i/>
        </w:rPr>
        <w:t>ticas</w:t>
      </w:r>
      <w:r w:rsidR="00564EA1">
        <w:rPr>
          <w:i/>
        </w:rPr>
        <w:t xml:space="preserve"> en América latina</w:t>
      </w:r>
      <w:r w:rsidR="00564EA1" w:rsidRPr="00B15494">
        <w:rPr>
          <w:i/>
        </w:rPr>
        <w:t>: dilemas y perspectivas</w:t>
      </w:r>
      <w:r w:rsidR="00564EA1" w:rsidRPr="00B26D82">
        <w:t>, Sao Paulo, In</w:t>
      </w:r>
      <w:r w:rsidR="00564EA1">
        <w:t xml:space="preserve">stituto Pólis y INESC, </w:t>
      </w:r>
      <w:r w:rsidR="00564EA1" w:rsidRPr="00B26D82">
        <w:t>23-49.</w:t>
      </w:r>
    </w:p>
    <w:p w14:paraId="634E7878" w14:textId="77777777" w:rsidR="00C74D73" w:rsidRDefault="00C74D73" w:rsidP="00C74D73">
      <w:pPr>
        <w:widowControl w:val="0"/>
        <w:autoSpaceDE w:val="0"/>
        <w:autoSpaceDN w:val="0"/>
        <w:adjustRightInd w:val="0"/>
        <w:rPr>
          <w:rFonts w:ascii="Times" w:hAnsi="Times" w:cs="Times"/>
          <w:sz w:val="32"/>
          <w:szCs w:val="32"/>
          <w:lang w:val="fr-FR"/>
        </w:rPr>
      </w:pPr>
    </w:p>
    <w:p w14:paraId="5470839C" w14:textId="77777777" w:rsidR="003D05BC" w:rsidRDefault="00403A52" w:rsidP="00177AB4">
      <w:r w:rsidRPr="004F2751">
        <w:t>Leó</w:t>
      </w:r>
      <w:r w:rsidR="003D05BC" w:rsidRPr="004F2751">
        <w:t>n</w:t>
      </w:r>
      <w:r w:rsidR="003D05BC">
        <w:t xml:space="preserve"> Trujillo, Jorge G. (2013). « El derecho del ganador y Mandela », </w:t>
      </w:r>
      <w:r w:rsidR="003D05BC">
        <w:rPr>
          <w:i/>
        </w:rPr>
        <w:t>El Comercio. com</w:t>
      </w:r>
      <w:r w:rsidR="003D05BC">
        <w:t>, 16 décembre 2013.</w:t>
      </w:r>
    </w:p>
    <w:p w14:paraId="7B75E6B6" w14:textId="77777777" w:rsidR="00070540" w:rsidRDefault="00070540" w:rsidP="00177AB4"/>
    <w:p w14:paraId="7520DBA9" w14:textId="77777777" w:rsidR="00070540" w:rsidRPr="00C74D73" w:rsidRDefault="00403A52" w:rsidP="00070540">
      <w:pPr>
        <w:rPr>
          <w:lang w:val="fr-FR"/>
        </w:rPr>
      </w:pPr>
      <w:r w:rsidRPr="004F2751">
        <w:t>Leó</w:t>
      </w:r>
      <w:r w:rsidR="00070540" w:rsidRPr="004F2751">
        <w:t>n</w:t>
      </w:r>
      <w:r w:rsidR="00070540">
        <w:t xml:space="preserve"> Trujillo, Jorge G. (2014). « </w:t>
      </w:r>
      <w:r w:rsidR="00070540">
        <w:rPr>
          <w:lang w:val="fr-FR"/>
        </w:rPr>
        <w:t xml:space="preserve">La sorpresa: Avanza y sectarismo », </w:t>
      </w:r>
      <w:r w:rsidR="00070540">
        <w:rPr>
          <w:i/>
          <w:lang w:val="fr-FR"/>
        </w:rPr>
        <w:t>El Comercio. com</w:t>
      </w:r>
      <w:r w:rsidR="00070540">
        <w:rPr>
          <w:lang w:val="fr-FR"/>
        </w:rPr>
        <w:t>, mars 2014.</w:t>
      </w:r>
    </w:p>
    <w:p w14:paraId="0897D2DE" w14:textId="77777777" w:rsidR="00070540" w:rsidRDefault="00070540" w:rsidP="00177AB4"/>
    <w:p w14:paraId="4381347D" w14:textId="77777777" w:rsidR="00177AB4" w:rsidRDefault="00177AB4" w:rsidP="00177AB4">
      <w:r>
        <w:t xml:space="preserve">Lévesque, Benoît (2014). « L’institutionnalisation des services québécois de garde à la petite enfance à partir de l’économie sociale : un processus qui s’échelonne sur plusieurs décennies », dans Lévesque, Benoît, Fontan, Jean-Marc et Juan-Luis Klein (Eds) (2014). </w:t>
      </w:r>
      <w:r>
        <w:rPr>
          <w:i/>
        </w:rPr>
        <w:t>L’innovation sociale. Les marches d’une construction théorique et pratique</w:t>
      </w:r>
      <w:r>
        <w:t xml:space="preserve">, Québec, PUQ, chap. 11, 267-301. </w:t>
      </w:r>
    </w:p>
    <w:p w14:paraId="4EC76ED5" w14:textId="77777777" w:rsidR="008533C3" w:rsidRDefault="008533C3" w:rsidP="00177AB4"/>
    <w:p w14:paraId="53F3CFE6" w14:textId="77777777" w:rsidR="008533C3" w:rsidRDefault="008533C3" w:rsidP="00177AB4">
      <w:r>
        <w:t xml:space="preserve">Lévesque, Benoît et Martin Petitclerc (2014). « L’économie sociale au Québec à travers les crises structurelles et les grandes transformations (1850-2008) », dans Lévesque, Benoît, Fontan, Jean-Marc et Juan-Luis Klein (Eds) (2014). </w:t>
      </w:r>
      <w:r>
        <w:rPr>
          <w:i/>
        </w:rPr>
        <w:t>L’innovation sociale. Les marches d’une construction théorique et pratique</w:t>
      </w:r>
      <w:r>
        <w:t>, Québec, PUQ, chap. 8, 191-213.</w:t>
      </w:r>
    </w:p>
    <w:p w14:paraId="4B7B8152" w14:textId="77777777" w:rsidR="00177AB4" w:rsidRDefault="00177AB4" w:rsidP="006B64A9">
      <w:r>
        <w:t xml:space="preserve"> </w:t>
      </w:r>
    </w:p>
    <w:p w14:paraId="5C1D0DAA" w14:textId="77777777" w:rsidR="006B64A9" w:rsidRDefault="006B64A9" w:rsidP="006B64A9">
      <w:r>
        <w:t xml:space="preserve">Lévesque, Benoît, Fontan, Jean-Marc et Juan-Luis Klein (Eds) (2014). </w:t>
      </w:r>
      <w:r>
        <w:rPr>
          <w:i/>
        </w:rPr>
        <w:t>L’innovation sociale. Les marches d’une construction théorique et pratique</w:t>
      </w:r>
      <w:r>
        <w:t xml:space="preserve">, Québec, PUQ. </w:t>
      </w:r>
    </w:p>
    <w:p w14:paraId="61A21BA8" w14:textId="77777777" w:rsidR="005C2FE3" w:rsidRDefault="005C2FE3" w:rsidP="006B64A9"/>
    <w:p w14:paraId="230BE143" w14:textId="77777777" w:rsidR="005C2FE3" w:rsidRDefault="005C2FE3" w:rsidP="006B64A9">
      <w:r>
        <w:t xml:space="preserve">Lipietz, Alain (2011). « Victoire à Bogota », </w:t>
      </w:r>
      <w:r w:rsidRPr="005C2FE3">
        <w:rPr>
          <w:i/>
        </w:rPr>
        <w:t>Blog d’Alain Lipietz</w:t>
      </w:r>
      <w:r>
        <w:t>, 8 novembre 2011.</w:t>
      </w:r>
    </w:p>
    <w:p w14:paraId="19CD8A07" w14:textId="77777777" w:rsidR="002678BE" w:rsidRDefault="002678BE" w:rsidP="006B64A9"/>
    <w:p w14:paraId="7D34FB57" w14:textId="77777777" w:rsidR="002678BE" w:rsidRPr="002678BE" w:rsidRDefault="0077722D" w:rsidP="006B64A9">
      <w:r>
        <w:t xml:space="preserve">Mamani </w:t>
      </w:r>
      <w:r w:rsidRPr="00CE2B25">
        <w:t>Ramí</w:t>
      </w:r>
      <w:r w:rsidR="002678BE" w:rsidRPr="00CE2B25">
        <w:t>rez</w:t>
      </w:r>
      <w:r w:rsidR="002678BE" w:rsidRPr="0077722D">
        <w:rPr>
          <w:highlight w:val="yellow"/>
        </w:rPr>
        <w:t>,</w:t>
      </w:r>
      <w:r w:rsidR="002678BE">
        <w:t xml:space="preserve"> Pablo (2012). </w:t>
      </w:r>
      <w:r w:rsidR="002678BE">
        <w:rPr>
          <w:i/>
        </w:rPr>
        <w:t>Proceso de cambio traicionado desde el Palacio</w:t>
      </w:r>
      <w:r w:rsidR="002678BE">
        <w:t xml:space="preserve">, 18 mars 2012. </w:t>
      </w:r>
      <w:r w:rsidR="002678BE" w:rsidRPr="002678BE">
        <w:t>http://www.rcci.net/globalizacion/2012/fg1342.htm</w:t>
      </w:r>
    </w:p>
    <w:p w14:paraId="749B3FC6" w14:textId="77777777" w:rsidR="008E0BB9" w:rsidRDefault="008E0BB9" w:rsidP="006B64A9"/>
    <w:p w14:paraId="02EA82D9" w14:textId="77777777" w:rsidR="008E0BB9" w:rsidRPr="008E0BB9" w:rsidRDefault="005C6C14" w:rsidP="006B64A9">
      <w:r>
        <w:t>Marañón,</w:t>
      </w:r>
      <w:r w:rsidR="00D01E5F">
        <w:t xml:space="preserve"> Boris (Ed.) (2013</w:t>
      </w:r>
      <w:r w:rsidR="008E0BB9">
        <w:t xml:space="preserve">). </w:t>
      </w:r>
      <w:r w:rsidR="0077722D">
        <w:rPr>
          <w:i/>
        </w:rPr>
        <w:t xml:space="preserve">La </w:t>
      </w:r>
      <w:r w:rsidR="0077722D" w:rsidRPr="00CE2B25">
        <w:rPr>
          <w:i/>
        </w:rPr>
        <w:t>economí</w:t>
      </w:r>
      <w:r w:rsidR="008E0BB9" w:rsidRPr="00CE2B25">
        <w:rPr>
          <w:i/>
        </w:rPr>
        <w:t>a</w:t>
      </w:r>
      <w:r w:rsidR="008E0BB9">
        <w:rPr>
          <w:i/>
        </w:rPr>
        <w:t xml:space="preserve"> solidaria en México</w:t>
      </w:r>
      <w:r w:rsidR="008E0BB9">
        <w:t>, México, UNAM.</w:t>
      </w:r>
    </w:p>
    <w:p w14:paraId="79AA724E" w14:textId="77777777" w:rsidR="00CD76DA" w:rsidRDefault="00CD76DA" w:rsidP="006B64A9"/>
    <w:p w14:paraId="1AF01260" w14:textId="77777777" w:rsidR="00CD76DA" w:rsidRDefault="00CD76DA" w:rsidP="006B64A9">
      <w:pPr>
        <w:rPr>
          <w:lang w:val="es-MX"/>
        </w:rPr>
      </w:pPr>
      <w:r>
        <w:t xml:space="preserve">Marañón, Boris et Dania </w:t>
      </w:r>
      <w:r w:rsidRPr="0083644E">
        <w:t>Ló</w:t>
      </w:r>
      <w:r>
        <w:t>pe</w:t>
      </w:r>
      <w:r w:rsidRPr="0083644E">
        <w:t>z</w:t>
      </w:r>
      <w:r>
        <w:t xml:space="preserve"> ( 2010). </w:t>
      </w:r>
      <w:r w:rsidRPr="00894C32">
        <w:rPr>
          <w:lang w:val="es-MX"/>
        </w:rPr>
        <w:t>« Econom</w:t>
      </w:r>
      <w:r>
        <w:rPr>
          <w:lang w:val="es-MX"/>
        </w:rPr>
        <w:t>í</w:t>
      </w:r>
      <w:r w:rsidRPr="00894C32">
        <w:rPr>
          <w:lang w:val="es-MX"/>
        </w:rPr>
        <w:t>a solidaria y sociedad</w:t>
      </w:r>
      <w:r>
        <w:rPr>
          <w:lang w:val="es-MX"/>
        </w:rPr>
        <w:t xml:space="preserve"> </w:t>
      </w:r>
      <w:r w:rsidRPr="00894C32">
        <w:rPr>
          <w:lang w:val="es-MX"/>
        </w:rPr>
        <w:t>alternativa en América Latina. Hacia</w:t>
      </w:r>
      <w:r>
        <w:rPr>
          <w:lang w:val="es-MX"/>
        </w:rPr>
        <w:t xml:space="preserve"> </w:t>
      </w:r>
      <w:r w:rsidRPr="00894C32">
        <w:rPr>
          <w:lang w:val="es-MX"/>
        </w:rPr>
        <w:t>una agenda de investigaci</w:t>
      </w:r>
      <w:r>
        <w:rPr>
          <w:lang w:val="es-MX"/>
        </w:rPr>
        <w:t>ó</w:t>
      </w:r>
      <w:r w:rsidRPr="00894C32">
        <w:rPr>
          <w:lang w:val="es-MX"/>
        </w:rPr>
        <w:t xml:space="preserve">n desde la descolonialidad », </w:t>
      </w:r>
      <w:r w:rsidRPr="00894C32">
        <w:rPr>
          <w:i/>
          <w:lang w:val="es-MX"/>
        </w:rPr>
        <w:t>Alternativas. Red Mexicana de Acci</w:t>
      </w:r>
      <w:r>
        <w:rPr>
          <w:i/>
          <w:lang w:val="es-MX"/>
        </w:rPr>
        <w:t>ó</w:t>
      </w:r>
      <w:r w:rsidRPr="00894C32">
        <w:rPr>
          <w:i/>
          <w:lang w:val="es-MX"/>
        </w:rPr>
        <w:t>n</w:t>
      </w:r>
      <w:r>
        <w:rPr>
          <w:i/>
          <w:lang w:val="es-MX"/>
        </w:rPr>
        <w:t xml:space="preserve"> </w:t>
      </w:r>
      <w:r w:rsidRPr="00894C32">
        <w:rPr>
          <w:i/>
          <w:lang w:val="es-MX"/>
        </w:rPr>
        <w:t>frente al Libre Comercio / RMALC. Revista electr</w:t>
      </w:r>
      <w:r>
        <w:rPr>
          <w:i/>
          <w:lang w:val="es-MX"/>
        </w:rPr>
        <w:t>ó</w:t>
      </w:r>
      <w:r w:rsidRPr="00894C32">
        <w:rPr>
          <w:i/>
          <w:lang w:val="es-MX"/>
        </w:rPr>
        <w:t>nica</w:t>
      </w:r>
      <w:r w:rsidRPr="00894C32">
        <w:rPr>
          <w:lang w:val="es-MX"/>
        </w:rPr>
        <w:t>, A</w:t>
      </w:r>
      <w:r>
        <w:rPr>
          <w:lang w:val="es-MX"/>
        </w:rPr>
        <w:t>ñ</w:t>
      </w:r>
      <w:r w:rsidRPr="00894C32">
        <w:rPr>
          <w:lang w:val="es-MX"/>
        </w:rPr>
        <w:t xml:space="preserve">o V, no 67, Oct. 28 de 2010, 12 p. </w:t>
      </w:r>
    </w:p>
    <w:p w14:paraId="06FDB6FC" w14:textId="77777777" w:rsidR="00D36055" w:rsidRDefault="00D36055" w:rsidP="006B64A9">
      <w:pPr>
        <w:rPr>
          <w:lang w:val="es-MX"/>
        </w:rPr>
      </w:pPr>
    </w:p>
    <w:p w14:paraId="4E61874F" w14:textId="77777777" w:rsidR="00D36055" w:rsidRPr="00D36055" w:rsidRDefault="00D36055" w:rsidP="006B64A9">
      <w:r w:rsidRPr="00A8299A">
        <w:t xml:space="preserve">Carle Marsan, Marianne et Léa Champagne (2014). « Medellin, </w:t>
      </w:r>
      <w:r w:rsidRPr="00A8299A">
        <w:rPr>
          <w:i/>
        </w:rPr>
        <w:t>Ciudad para la vida </w:t>
      </w:r>
      <w:r w:rsidRPr="00A8299A">
        <w:t xml:space="preserve">: de la résilience à l’innovation urbaine », </w:t>
      </w:r>
      <w:r w:rsidRPr="00A8299A">
        <w:rPr>
          <w:i/>
        </w:rPr>
        <w:t>Kaleidoscope</w:t>
      </w:r>
      <w:r w:rsidRPr="00A8299A">
        <w:t>, vol. 2, no 1, printemps 2014, 11-13.</w:t>
      </w:r>
    </w:p>
    <w:p w14:paraId="0E90D086" w14:textId="77777777" w:rsidR="00411D89" w:rsidRDefault="00411D89" w:rsidP="006B64A9">
      <w:pPr>
        <w:rPr>
          <w:lang w:val="es-MX"/>
        </w:rPr>
      </w:pPr>
    </w:p>
    <w:p w14:paraId="649C4A97" w14:textId="77777777" w:rsidR="00411D89" w:rsidRDefault="00411D89" w:rsidP="006B64A9">
      <w:pPr>
        <w:rPr>
          <w:lang w:val="es-MX"/>
        </w:rPr>
      </w:pPr>
      <w:r>
        <w:rPr>
          <w:lang w:val="es-MX"/>
        </w:rPr>
        <w:t xml:space="preserve">Mayorga, Fernando (2014). “El camino Boliviano”, Entrevue faite par Natalia Aruguete, </w:t>
      </w:r>
      <w:r w:rsidR="006349F2" w:rsidRPr="00A8299A">
        <w:rPr>
          <w:i/>
          <w:lang w:val="es-MX"/>
        </w:rPr>
        <w:t>Pá</w:t>
      </w:r>
      <w:r w:rsidRPr="00A8299A">
        <w:rPr>
          <w:i/>
          <w:lang w:val="es-MX"/>
        </w:rPr>
        <w:t>gina</w:t>
      </w:r>
      <w:r>
        <w:rPr>
          <w:i/>
          <w:lang w:val="es-MX"/>
        </w:rPr>
        <w:t xml:space="preserve"> / 12</w:t>
      </w:r>
      <w:r>
        <w:rPr>
          <w:lang w:val="es-MX"/>
        </w:rPr>
        <w:t>, 10 février 2014.</w:t>
      </w:r>
      <w:r w:rsidR="005E3676">
        <w:rPr>
          <w:lang w:val="es-MX"/>
        </w:rPr>
        <w:t xml:space="preserve"> </w:t>
      </w:r>
    </w:p>
    <w:p w14:paraId="5AE67F9C" w14:textId="77777777" w:rsidR="005146BB" w:rsidRDefault="005146BB" w:rsidP="006B64A9">
      <w:pPr>
        <w:rPr>
          <w:lang w:val="es-MX"/>
        </w:rPr>
      </w:pPr>
    </w:p>
    <w:p w14:paraId="57BA6E12" w14:textId="77777777" w:rsidR="005146BB" w:rsidRPr="005146BB" w:rsidRDefault="000D6D9E" w:rsidP="006B64A9">
      <w:pPr>
        <w:rPr>
          <w:lang w:val="es-MX"/>
        </w:rPr>
      </w:pPr>
      <w:r>
        <w:rPr>
          <w:lang w:val="es-MX"/>
        </w:rPr>
        <w:t>Modonesi</w:t>
      </w:r>
      <w:r w:rsidR="005146BB">
        <w:rPr>
          <w:lang w:val="es-MX"/>
        </w:rPr>
        <w:t xml:space="preserve">, Massimo (2014). “El impacto internacional del zapatismo”, </w:t>
      </w:r>
      <w:r w:rsidR="005146BB">
        <w:rPr>
          <w:i/>
          <w:lang w:val="es-MX"/>
        </w:rPr>
        <w:t>La Jornada</w:t>
      </w:r>
      <w:r w:rsidR="005146BB">
        <w:rPr>
          <w:lang w:val="es-MX"/>
        </w:rPr>
        <w:t xml:space="preserve">, 13 mars 2014. </w:t>
      </w:r>
    </w:p>
    <w:p w14:paraId="261D7FAF" w14:textId="77777777" w:rsidR="001D0B28" w:rsidRDefault="001D0B28" w:rsidP="006B64A9">
      <w:pPr>
        <w:rPr>
          <w:lang w:val="es-MX"/>
        </w:rPr>
      </w:pPr>
    </w:p>
    <w:p w14:paraId="54B81991" w14:textId="77777777" w:rsidR="001D0B28" w:rsidRPr="001D0B28" w:rsidRDefault="001D0B28" w:rsidP="006B64A9">
      <w:pPr>
        <w:rPr>
          <w:lang w:val="es-MX"/>
        </w:rPr>
      </w:pPr>
      <w:r>
        <w:rPr>
          <w:lang w:val="es-MX"/>
        </w:rPr>
        <w:t>Nad</w:t>
      </w:r>
      <w:r w:rsidR="0077722D">
        <w:rPr>
          <w:lang w:val="es-MX"/>
        </w:rPr>
        <w:t xml:space="preserve">al, Alejandro (2014). “Veinte </w:t>
      </w:r>
      <w:r w:rsidR="0077722D" w:rsidRPr="00CE2B25">
        <w:rPr>
          <w:lang w:val="es-MX"/>
        </w:rPr>
        <w:t>añ</w:t>
      </w:r>
      <w:r w:rsidRPr="00CE2B25">
        <w:rPr>
          <w:lang w:val="es-MX"/>
        </w:rPr>
        <w:t>os</w:t>
      </w:r>
      <w:r>
        <w:rPr>
          <w:lang w:val="es-MX"/>
        </w:rPr>
        <w:t xml:space="preserve"> de TLCAN: el protectyorado mexicano”, </w:t>
      </w:r>
      <w:r>
        <w:rPr>
          <w:i/>
          <w:lang w:val="es-MX"/>
        </w:rPr>
        <w:t>La Jornada</w:t>
      </w:r>
      <w:r>
        <w:rPr>
          <w:lang w:val="es-MX"/>
        </w:rPr>
        <w:t xml:space="preserve">, 8 janvier 2014. </w:t>
      </w:r>
    </w:p>
    <w:p w14:paraId="35B9A3F9" w14:textId="77777777" w:rsidR="008D7B0C" w:rsidRDefault="008D7B0C" w:rsidP="006B64A9"/>
    <w:p w14:paraId="2DD44832" w14:textId="77777777" w:rsidR="00F9487A" w:rsidRPr="00DB2ED1" w:rsidRDefault="007324DA" w:rsidP="00F9487A">
      <w:pPr>
        <w:rPr>
          <w:lang w:val="en-CA"/>
        </w:rPr>
      </w:pPr>
      <w:r>
        <w:t>Natanson, José (2007</w:t>
      </w:r>
      <w:r w:rsidR="00F9487A">
        <w:t>). « Las reformas pac</w:t>
      </w:r>
      <w:r w:rsidR="0077722D">
        <w:t xml:space="preserve">tadas. </w:t>
      </w:r>
      <w:r w:rsidR="0077722D" w:rsidRPr="00DB2ED1">
        <w:rPr>
          <w:lang w:val="en-CA"/>
        </w:rPr>
        <w:t>Entrevista a Alvaro Garcí</w:t>
      </w:r>
      <w:r w:rsidR="00F9487A" w:rsidRPr="00DB2ED1">
        <w:rPr>
          <w:lang w:val="en-CA"/>
        </w:rPr>
        <w:t xml:space="preserve">a Linera », </w:t>
      </w:r>
      <w:r w:rsidR="00F9487A" w:rsidRPr="00DB2ED1">
        <w:rPr>
          <w:i/>
          <w:lang w:val="en-CA"/>
        </w:rPr>
        <w:t>Nueva Sociedad</w:t>
      </w:r>
      <w:r w:rsidR="00F9487A" w:rsidRPr="00DB2ED1">
        <w:rPr>
          <w:lang w:val="en-CA"/>
        </w:rPr>
        <w:t xml:space="preserve">, no 209, mayo-junio de 2007, 160-172. </w:t>
      </w:r>
    </w:p>
    <w:p w14:paraId="43E27D9B" w14:textId="77777777" w:rsidR="00F9487A" w:rsidRPr="00DB2ED1" w:rsidRDefault="00F9487A" w:rsidP="006B64A9">
      <w:pPr>
        <w:rPr>
          <w:lang w:val="en-CA"/>
        </w:rPr>
      </w:pPr>
    </w:p>
    <w:p w14:paraId="62F97C2C" w14:textId="77777777" w:rsidR="008D7B0C" w:rsidRDefault="008D7B0C" w:rsidP="006B64A9">
      <w:pPr>
        <w:rPr>
          <w:rFonts w:eastAsia="Times New Roman"/>
          <w:lang w:val="en-CA"/>
        </w:rPr>
      </w:pPr>
      <w:r w:rsidRPr="00DB2ED1">
        <w:rPr>
          <w:lang w:val="en-CA"/>
        </w:rPr>
        <w:t xml:space="preserve">Noël, Alain (2013). </w:t>
      </w:r>
      <w:r w:rsidR="00060A93" w:rsidRPr="00CB381B">
        <w:rPr>
          <w:rFonts w:eastAsia="Times New Roman"/>
          <w:lang w:val="en-CA"/>
        </w:rPr>
        <w:t xml:space="preserve">« Quebec’s New Politics of Redistribution », in Keith Banting and John Myles (Eds), </w:t>
      </w:r>
      <w:r w:rsidR="00060A93" w:rsidRPr="00CB381B">
        <w:rPr>
          <w:rFonts w:eastAsia="Times New Roman"/>
          <w:i/>
          <w:lang w:val="en-CA"/>
        </w:rPr>
        <w:t>The Fading of Redistributive Politics : Inequality and the Politics of Social Policy</w:t>
      </w:r>
      <w:r w:rsidR="00060A93" w:rsidRPr="00CB381B">
        <w:rPr>
          <w:rFonts w:eastAsia="Times New Roman"/>
          <w:lang w:val="en-CA"/>
        </w:rPr>
        <w:t>, Vancouver, UBC Press, 256-282.</w:t>
      </w:r>
    </w:p>
    <w:p w14:paraId="181D8E29" w14:textId="77777777" w:rsidR="00D5011B" w:rsidRDefault="00D5011B" w:rsidP="006B64A9">
      <w:pPr>
        <w:rPr>
          <w:rFonts w:eastAsia="Times New Roman"/>
          <w:lang w:val="en-CA"/>
        </w:rPr>
      </w:pPr>
    </w:p>
    <w:p w14:paraId="40E37D22" w14:textId="77777777" w:rsidR="00D5011B" w:rsidRPr="00DB2ED1" w:rsidRDefault="00D5011B" w:rsidP="006B64A9">
      <w:pPr>
        <w:rPr>
          <w:rFonts w:eastAsia="Times New Roman"/>
        </w:rPr>
      </w:pPr>
      <w:r w:rsidRPr="00DB2ED1">
        <w:rPr>
          <w:rFonts w:eastAsia="Times New Roman"/>
        </w:rPr>
        <w:t>Olivera, Oscar (2012). “El Gobierno de Bolivia se est</w:t>
      </w:r>
      <w:r w:rsidR="0077722D" w:rsidRPr="00DB2ED1">
        <w:rPr>
          <w:rFonts w:eastAsia="Times New Roman"/>
        </w:rPr>
        <w:t>á</w:t>
      </w:r>
      <w:r w:rsidR="00E5784A" w:rsidRPr="00DB2ED1">
        <w:rPr>
          <w:rFonts w:eastAsia="Times New Roman"/>
        </w:rPr>
        <w:t xml:space="preserve"> subordinando a las transna</w:t>
      </w:r>
      <w:r w:rsidR="0077722D" w:rsidRPr="00DB2ED1">
        <w:rPr>
          <w:rFonts w:eastAsia="Times New Roman"/>
        </w:rPr>
        <w:t>cionales de Brasil y el narcotrá</w:t>
      </w:r>
      <w:r w:rsidR="00E5784A" w:rsidRPr="00DB2ED1">
        <w:rPr>
          <w:rFonts w:eastAsia="Times New Roman"/>
        </w:rPr>
        <w:t xml:space="preserve">fico”, </w:t>
      </w:r>
      <w:r w:rsidR="00E5784A" w:rsidRPr="00DB2ED1">
        <w:rPr>
          <w:rFonts w:eastAsia="Times New Roman"/>
          <w:i/>
        </w:rPr>
        <w:t>Otra América de Sur a Norte</w:t>
      </w:r>
      <w:r w:rsidR="00E5784A" w:rsidRPr="00DB2ED1">
        <w:rPr>
          <w:rFonts w:eastAsia="Times New Roman"/>
        </w:rPr>
        <w:t>. 16 mars 2012.</w:t>
      </w:r>
    </w:p>
    <w:p w14:paraId="72444AB4" w14:textId="77777777" w:rsidR="00894D7F" w:rsidRPr="00DB2ED1" w:rsidRDefault="00894D7F" w:rsidP="006B64A9">
      <w:pPr>
        <w:rPr>
          <w:rFonts w:eastAsia="Times New Roman"/>
        </w:rPr>
      </w:pPr>
    </w:p>
    <w:p w14:paraId="40F2D4ED" w14:textId="77777777" w:rsidR="00894D7F" w:rsidRPr="00DB2ED1" w:rsidRDefault="0077722D" w:rsidP="006B64A9">
      <w:pPr>
        <w:rPr>
          <w:rFonts w:eastAsia="Times New Roman"/>
        </w:rPr>
      </w:pPr>
      <w:r w:rsidRPr="00DB2ED1">
        <w:rPr>
          <w:rFonts w:eastAsia="Times New Roman"/>
        </w:rPr>
        <w:t>Opció</w:t>
      </w:r>
      <w:r w:rsidR="00894D7F" w:rsidRPr="00DB2ED1">
        <w:rPr>
          <w:rFonts w:eastAsia="Times New Roman"/>
        </w:rPr>
        <w:t xml:space="preserve">n Socialista (2013). </w:t>
      </w:r>
      <w:r w:rsidR="006349F2" w:rsidRPr="00DB2ED1">
        <w:rPr>
          <w:rFonts w:eastAsia="Times New Roman"/>
          <w:i/>
        </w:rPr>
        <w:t>Opció</w:t>
      </w:r>
      <w:r w:rsidR="00894D7F" w:rsidRPr="00DB2ED1">
        <w:rPr>
          <w:rFonts w:eastAsia="Times New Roman"/>
          <w:i/>
        </w:rPr>
        <w:t xml:space="preserve">n Socialista. </w:t>
      </w:r>
      <w:r w:rsidR="006349F2" w:rsidRPr="00DB2ED1">
        <w:rPr>
          <w:rFonts w:eastAsia="Times New Roman"/>
        </w:rPr>
        <w:t>Edició</w:t>
      </w:r>
      <w:r w:rsidR="00894D7F" w:rsidRPr="00DB2ED1">
        <w:rPr>
          <w:rFonts w:eastAsia="Times New Roman"/>
        </w:rPr>
        <w:t xml:space="preserve">n especial, no 38 – 39 – 40, mayo, junio y Julio 2013, 72 p. </w:t>
      </w:r>
    </w:p>
    <w:p w14:paraId="3EDF538D" w14:textId="77777777" w:rsidR="008D7B0C" w:rsidRDefault="008D7B0C" w:rsidP="006B64A9"/>
    <w:p w14:paraId="18951EB1" w14:textId="77777777" w:rsidR="00F723CC" w:rsidRDefault="00D23F58" w:rsidP="00D23F58">
      <w:r>
        <w:t xml:space="preserve">Ospina Peralta, Pablo (2011). « La unidad de las izquierdas », </w:t>
      </w:r>
      <w:r w:rsidRPr="004D36C4">
        <w:rPr>
          <w:i/>
        </w:rPr>
        <w:t>latineadefuego</w:t>
      </w:r>
      <w:r>
        <w:t xml:space="preserve">, Quito, 8 septembre 2011, 3 p. </w:t>
      </w:r>
    </w:p>
    <w:p w14:paraId="2BC7374E" w14:textId="77777777" w:rsidR="00F723CC" w:rsidRDefault="00F723CC" w:rsidP="00D23F58"/>
    <w:p w14:paraId="14A17E5C" w14:textId="77777777" w:rsidR="00F723CC" w:rsidRDefault="00F723CC" w:rsidP="00F723CC">
      <w:r>
        <w:t>Ospina Peralta,</w:t>
      </w:r>
      <w:r w:rsidR="0077722D">
        <w:t xml:space="preserve"> Pablo (2012). « Ejes de la </w:t>
      </w:r>
      <w:r w:rsidR="0077722D" w:rsidRPr="00CE2B25">
        <w:t>polí</w:t>
      </w:r>
      <w:r w:rsidRPr="00CE2B25">
        <w:t>tica</w:t>
      </w:r>
      <w:r>
        <w:t xml:space="preserve"> ecuatoriana : medidas disci</w:t>
      </w:r>
      <w:r w:rsidR="0077722D">
        <w:t xml:space="preserve">plinarias, conflicto social y </w:t>
      </w:r>
      <w:r w:rsidR="0077722D" w:rsidRPr="00CE2B25">
        <w:t>cá</w:t>
      </w:r>
      <w:r w:rsidRPr="00CE2B25">
        <w:t>lculo</w:t>
      </w:r>
      <w:r>
        <w:t xml:space="preserve"> electoral », Quito, CEP (</w:t>
      </w:r>
      <w:r w:rsidRPr="00CE2B25">
        <w:t>Comit</w:t>
      </w:r>
      <w:r w:rsidR="0077722D" w:rsidRPr="00CE2B25">
        <w:t>é</w:t>
      </w:r>
      <w:r w:rsidR="00F10D07">
        <w:t xml:space="preserve"> Ecuménico de Projectos), 12 p</w:t>
      </w:r>
      <w:r w:rsidR="00CD67C5">
        <w:t>.</w:t>
      </w:r>
    </w:p>
    <w:p w14:paraId="12794CCB" w14:textId="77777777" w:rsidR="00CD67C5" w:rsidRDefault="00CD67C5" w:rsidP="00F723CC"/>
    <w:p w14:paraId="5283B228" w14:textId="77777777" w:rsidR="00CD67C5" w:rsidRDefault="00CD67C5" w:rsidP="00CD67C5">
      <w:r>
        <w:t>Ospina Peralta, Pablo (2013). « Ecuador : el nue</w:t>
      </w:r>
      <w:r w:rsidR="0077722D">
        <w:t>vo periodo de gobierno y el c</w:t>
      </w:r>
      <w:r w:rsidR="004E41A6">
        <w:t>amb</w:t>
      </w:r>
      <w:r>
        <w:t>io de la matriz productiva. Informe de conyuntura, jul</w:t>
      </w:r>
      <w:r w:rsidR="0077722D">
        <w:t>io de 2013 », Quito, CEP (</w:t>
      </w:r>
      <w:r w:rsidR="0077722D" w:rsidRPr="00CE2B25">
        <w:t>Comité</w:t>
      </w:r>
      <w:r w:rsidR="0077722D">
        <w:t xml:space="preserve"> Ecuménico de </w:t>
      </w:r>
      <w:r w:rsidR="0077722D" w:rsidRPr="00CE2B25">
        <w:t>Proy</w:t>
      </w:r>
      <w:r w:rsidRPr="00CE2B25">
        <w:t>ectos</w:t>
      </w:r>
      <w:r>
        <w:t xml:space="preserve">), 12 p. </w:t>
      </w:r>
    </w:p>
    <w:p w14:paraId="21567B08" w14:textId="77777777" w:rsidR="000411B1" w:rsidRDefault="000411B1" w:rsidP="00CD67C5"/>
    <w:p w14:paraId="0DBA94DC" w14:textId="77777777" w:rsidR="000411B1" w:rsidRDefault="000411B1" w:rsidP="00CD67C5">
      <w:r>
        <w:lastRenderedPageBreak/>
        <w:t>Panfichi, Aldo et Juan Lu</w:t>
      </w:r>
      <w:r w:rsidR="004B24A4">
        <w:t>is Dammert B.</w:t>
      </w:r>
      <w:r>
        <w:t xml:space="preserve"> (2006). « Oportunidades y</w:t>
      </w:r>
      <w:r w:rsidR="0077722D">
        <w:t xml:space="preserve"> limitaciones de la </w:t>
      </w:r>
      <w:r w:rsidR="0077722D" w:rsidRPr="00CE2B25">
        <w:t>participación</w:t>
      </w:r>
      <w:r w:rsidR="0077722D">
        <w:t xml:space="preserve"> ciudadana en el </w:t>
      </w:r>
      <w:r w:rsidR="0077722D" w:rsidRPr="00CE2B25">
        <w:t>Perú</w:t>
      </w:r>
      <w:r>
        <w:t xml:space="preserve"> », dans Dagnino, Evelina, Olvera, Alberto J. et Aldo Panfichi (Eds) (2006). </w:t>
      </w:r>
      <w:r w:rsidR="0077722D">
        <w:rPr>
          <w:i/>
        </w:rPr>
        <w:t>La disputa por la construcción democrá</w:t>
      </w:r>
      <w:r>
        <w:rPr>
          <w:i/>
        </w:rPr>
        <w:t>tica en América Latina</w:t>
      </w:r>
      <w:r>
        <w:t xml:space="preserve">, Fondo de Cultura Economica, CIESAS, Universidad Veracruzana, Xalapa, </w:t>
      </w:r>
      <w:r w:rsidRPr="00CE2B25">
        <w:t>M</w:t>
      </w:r>
      <w:r w:rsidR="0077722D" w:rsidRPr="00CE2B25">
        <w:t>éxico</w:t>
      </w:r>
      <w:r>
        <w:t>, 243-274.</w:t>
      </w:r>
    </w:p>
    <w:p w14:paraId="49ED832E" w14:textId="77777777" w:rsidR="00F10D07" w:rsidRDefault="00F10D07" w:rsidP="00F723CC"/>
    <w:p w14:paraId="37CE4B96" w14:textId="77777777" w:rsidR="00F10D07" w:rsidRDefault="00F10D07" w:rsidP="00F10D07">
      <w:pPr>
        <w:rPr>
          <w:lang w:val="en-CA"/>
        </w:rPr>
      </w:pPr>
      <w:r w:rsidRPr="00CB381B">
        <w:rPr>
          <w:lang w:val="en-CA"/>
        </w:rPr>
        <w:t xml:space="preserve">Pestoff, Victor, Brandsen, Taco &amp; Bram Verschuere (2012). </w:t>
      </w:r>
      <w:r w:rsidRPr="00CB381B">
        <w:rPr>
          <w:i/>
          <w:lang w:val="en-CA"/>
        </w:rPr>
        <w:t>New Public Governance, the Third Sector and Co-Production</w:t>
      </w:r>
      <w:r w:rsidRPr="00CB381B">
        <w:rPr>
          <w:lang w:val="en-CA"/>
        </w:rPr>
        <w:t>, New</w:t>
      </w:r>
      <w:r>
        <w:rPr>
          <w:lang w:val="en-CA"/>
        </w:rPr>
        <w:t xml:space="preserve"> York &amp; Abingdon, UK, Routledge.</w:t>
      </w:r>
    </w:p>
    <w:p w14:paraId="00368519" w14:textId="77777777" w:rsidR="006B537A" w:rsidRDefault="006B537A" w:rsidP="00F10D07">
      <w:pPr>
        <w:rPr>
          <w:lang w:val="en-CA"/>
        </w:rPr>
      </w:pPr>
    </w:p>
    <w:p w14:paraId="469CCE1F" w14:textId="77777777" w:rsidR="006B537A" w:rsidRPr="008018D5" w:rsidRDefault="006B537A" w:rsidP="006B537A">
      <w:r>
        <w:t xml:space="preserve">Petras, James (2006b). « El peculiar comienzo de Evo Morales », février 2006, site : </w:t>
      </w:r>
      <w:hyperlink r:id="rId17" w:history="1">
        <w:r w:rsidRPr="000E0A7C">
          <w:rPr>
            <w:rStyle w:val="Lienhypertexte"/>
          </w:rPr>
          <w:t>http://salaprensa.free.fr</w:t>
        </w:r>
      </w:hyperlink>
    </w:p>
    <w:p w14:paraId="089C6464" w14:textId="77777777" w:rsidR="006B537A" w:rsidRDefault="006B537A" w:rsidP="006B537A"/>
    <w:p w14:paraId="72C40C1E" w14:textId="77777777" w:rsidR="006B537A" w:rsidRDefault="006B537A" w:rsidP="006B537A">
      <w:r>
        <w:t xml:space="preserve">Petras, James (2009a). « Existe un estancamiento [une stagnation] de las izquierdas en América latina ». Entrevue du 23 septembre 2009 à Radio Centenario. Reproduit sur le site de </w:t>
      </w:r>
      <w:r>
        <w:rPr>
          <w:i/>
        </w:rPr>
        <w:t>Rebelion</w:t>
      </w:r>
      <w:r>
        <w:t xml:space="preserve"> : </w:t>
      </w:r>
      <w:hyperlink r:id="rId18" w:history="1">
        <w:r>
          <w:rPr>
            <w:rStyle w:val="Lienhypertexte"/>
            <w:b/>
          </w:rPr>
          <w:t>www.rebelion.org/noticias/2009/9/91910.pdf</w:t>
        </w:r>
      </w:hyperlink>
      <w:r>
        <w:t xml:space="preserve">. 4 p. </w:t>
      </w:r>
    </w:p>
    <w:p w14:paraId="6611D927" w14:textId="77777777" w:rsidR="006B537A" w:rsidRDefault="006B537A" w:rsidP="006B537A"/>
    <w:p w14:paraId="55C4898E" w14:textId="77777777" w:rsidR="006B537A" w:rsidRDefault="006B537A" w:rsidP="006B537A">
      <w:pPr>
        <w:rPr>
          <w:rFonts w:ascii="Arial" w:hAnsi="Arial" w:cs="Arial"/>
          <w:color w:val="208C10"/>
          <w:sz w:val="26"/>
          <w:szCs w:val="26"/>
        </w:rPr>
      </w:pPr>
      <w:r>
        <w:t>Petras, James (2009b). « </w:t>
      </w:r>
      <w:r w:rsidRPr="000D43B6">
        <w:t>El socialismo de</w:t>
      </w:r>
      <w:r w:rsidR="0077722D">
        <w:t xml:space="preserve">l siglo XXI en su contexto </w:t>
      </w:r>
      <w:r w:rsidR="0077722D" w:rsidRPr="00CE2B25">
        <w:t>histó</w:t>
      </w:r>
      <w:r w:rsidRPr="00CE2B25">
        <w:t>rico</w:t>
      </w:r>
      <w:r>
        <w:t xml:space="preserve"> », </w:t>
      </w:r>
      <w:r w:rsidRPr="00CE2B25">
        <w:rPr>
          <w:i/>
        </w:rPr>
        <w:t>Rebeli</w:t>
      </w:r>
      <w:r w:rsidR="0077722D" w:rsidRPr="00CE2B25">
        <w:rPr>
          <w:i/>
        </w:rPr>
        <w:t>ó</w:t>
      </w:r>
      <w:r w:rsidRPr="00CE2B25">
        <w:rPr>
          <w:i/>
        </w:rPr>
        <w:t>n</w:t>
      </w:r>
      <w:r>
        <w:rPr>
          <w:i/>
        </w:rPr>
        <w:t>,</w:t>
      </w:r>
      <w:r>
        <w:t xml:space="preserve"> 21 octobre 2009, 21 p. </w:t>
      </w:r>
      <w:hyperlink r:id="rId19" w:history="1">
        <w:r w:rsidRPr="00D9465A">
          <w:rPr>
            <w:rStyle w:val="Lienhypertexte"/>
            <w:rFonts w:ascii="Arial" w:hAnsi="Arial" w:cs="Arial"/>
            <w:sz w:val="26"/>
            <w:szCs w:val="26"/>
          </w:rPr>
          <w:t>www.</w:t>
        </w:r>
        <w:r w:rsidRPr="00D9465A">
          <w:rPr>
            <w:rStyle w:val="Lienhypertexte"/>
            <w:rFonts w:ascii="Arial" w:hAnsi="Arial" w:cs="Arial"/>
            <w:b/>
            <w:bCs/>
            <w:sz w:val="26"/>
            <w:szCs w:val="26"/>
          </w:rPr>
          <w:t>rebelion</w:t>
        </w:r>
        <w:r w:rsidRPr="00D9465A">
          <w:rPr>
            <w:rStyle w:val="Lienhypertexte"/>
            <w:rFonts w:ascii="Arial" w:hAnsi="Arial" w:cs="Arial"/>
            <w:sz w:val="26"/>
            <w:szCs w:val="26"/>
          </w:rPr>
          <w:t>.org/noticia.php?id=93610</w:t>
        </w:r>
      </w:hyperlink>
      <w:r>
        <w:rPr>
          <w:rFonts w:ascii="Arial" w:hAnsi="Arial" w:cs="Arial"/>
          <w:color w:val="208C10"/>
          <w:sz w:val="26"/>
          <w:szCs w:val="26"/>
        </w:rPr>
        <w:t xml:space="preserve">. </w:t>
      </w:r>
    </w:p>
    <w:p w14:paraId="6FDDE500" w14:textId="77777777" w:rsidR="006B537A" w:rsidRDefault="006B537A" w:rsidP="006B537A">
      <w:pPr>
        <w:rPr>
          <w:lang w:val="fr-FR"/>
        </w:rPr>
      </w:pPr>
    </w:p>
    <w:p w14:paraId="2EA717BA" w14:textId="77777777" w:rsidR="006B537A" w:rsidRPr="006B537A" w:rsidRDefault="006B537A" w:rsidP="00F10D07">
      <w:pPr>
        <w:rPr>
          <w:rFonts w:ascii="Arial" w:hAnsi="Arial" w:cs="Arial"/>
          <w:color w:val="208C10"/>
          <w:sz w:val="26"/>
          <w:szCs w:val="26"/>
        </w:rPr>
      </w:pPr>
      <w:r>
        <w:rPr>
          <w:lang w:val="fr-FR"/>
        </w:rPr>
        <w:t xml:space="preserve">Petras, James (2012). « El capitalismo extractivo y las diferencias en el bando latinoamericano progresista », </w:t>
      </w:r>
      <w:r w:rsidR="006349F2">
        <w:rPr>
          <w:i/>
          <w:lang w:val="fr-FR"/>
        </w:rPr>
        <w:t>Rebelió</w:t>
      </w:r>
      <w:r w:rsidRPr="00246A10">
        <w:rPr>
          <w:i/>
          <w:lang w:val="fr-FR"/>
        </w:rPr>
        <w:t xml:space="preserve">n, </w:t>
      </w:r>
      <w:r>
        <w:rPr>
          <w:lang w:val="fr-FR"/>
        </w:rPr>
        <w:t>8 mai 2012.</w:t>
      </w:r>
    </w:p>
    <w:p w14:paraId="5B46159B" w14:textId="77777777" w:rsidR="001377E1" w:rsidRPr="00DB2ED1" w:rsidRDefault="001377E1" w:rsidP="00F10D07"/>
    <w:p w14:paraId="2AB7CFC0" w14:textId="77777777" w:rsidR="001377E1" w:rsidRPr="00DB2ED1" w:rsidRDefault="0077722D" w:rsidP="00F10D07">
      <w:r w:rsidRPr="00DB2ED1">
        <w:t>Proiettis, Gianni (2014). “20 añ</w:t>
      </w:r>
      <w:r w:rsidR="001377E1" w:rsidRPr="00DB2ED1">
        <w:t>os</w:t>
      </w:r>
      <w:r w:rsidRPr="00DB2ED1">
        <w:t xml:space="preserve"> de zapatismo. Reflexió</w:t>
      </w:r>
      <w:r w:rsidR="001377E1" w:rsidRPr="00DB2ED1">
        <w:t>n y cr</w:t>
      </w:r>
      <w:r w:rsidRPr="00DB2ED1">
        <w:t>í</w:t>
      </w:r>
      <w:r w:rsidR="001377E1" w:rsidRPr="00DB2ED1">
        <w:t xml:space="preserve">ticas sobre una larga lucha pour la democracia”, </w:t>
      </w:r>
      <w:r w:rsidR="001377E1" w:rsidRPr="00DB2ED1">
        <w:rPr>
          <w:i/>
        </w:rPr>
        <w:t>La Jornada</w:t>
      </w:r>
      <w:r w:rsidR="001377E1" w:rsidRPr="00DB2ED1">
        <w:t xml:space="preserve">, 1er janvier 2014. </w:t>
      </w:r>
    </w:p>
    <w:p w14:paraId="68A9B690" w14:textId="77777777" w:rsidR="006A4B27" w:rsidRPr="00DB2ED1" w:rsidRDefault="006A4B27" w:rsidP="00F10D07"/>
    <w:p w14:paraId="51CDACE5" w14:textId="77777777" w:rsidR="006A4B27" w:rsidRPr="006A4B27" w:rsidRDefault="0077722D" w:rsidP="00F10D07">
      <w:r w:rsidRPr="00CE2B25">
        <w:t>Ramí</w:t>
      </w:r>
      <w:r w:rsidR="006A4B27" w:rsidRPr="00CE2B25">
        <w:t>rez</w:t>
      </w:r>
      <w:r w:rsidR="006A4B27" w:rsidRPr="0077722D">
        <w:rPr>
          <w:highlight w:val="yellow"/>
        </w:rPr>
        <w:t>,</w:t>
      </w:r>
      <w:r w:rsidR="006A4B27" w:rsidRPr="0000544C">
        <w:t xml:space="preserve"> René (2012). « Izquierda y ‘buen capitalismo’. Un aporte cr</w:t>
      </w:r>
      <w:r>
        <w:t>í</w:t>
      </w:r>
      <w:r w:rsidR="006A4B27" w:rsidRPr="0000544C">
        <w:t xml:space="preserve">tico desde América Latina », </w:t>
      </w:r>
      <w:r w:rsidR="006A4B27" w:rsidRPr="0000544C">
        <w:rPr>
          <w:i/>
        </w:rPr>
        <w:t>Nueva Sociedad</w:t>
      </w:r>
      <w:r w:rsidR="006A4B27" w:rsidRPr="0000544C">
        <w:t>, no 237 (enero-febrero de 2012), 32-48.</w:t>
      </w:r>
      <w:r w:rsidR="006A4B27">
        <w:t xml:space="preserve"> </w:t>
      </w:r>
    </w:p>
    <w:p w14:paraId="5A6EAD53" w14:textId="77777777" w:rsidR="004670E4" w:rsidRDefault="004670E4" w:rsidP="00F723CC"/>
    <w:p w14:paraId="62FC24B7" w14:textId="77777777" w:rsidR="004670E4" w:rsidRDefault="004670E4" w:rsidP="00F723CC">
      <w:r>
        <w:t xml:space="preserve">Relations (2012). « Dossier sur l’Amérique latine », </w:t>
      </w:r>
      <w:r w:rsidR="00553C24" w:rsidRPr="00011EA1">
        <w:rPr>
          <w:i/>
        </w:rPr>
        <w:t>Relations</w:t>
      </w:r>
      <w:r w:rsidR="00553C24">
        <w:t xml:space="preserve">, </w:t>
      </w:r>
      <w:r w:rsidRPr="00553C24">
        <w:t>no</w:t>
      </w:r>
      <w:r>
        <w:t xml:space="preserve"> </w:t>
      </w:r>
      <w:r w:rsidR="00553C24">
        <w:t xml:space="preserve">754, février 2012, 11-27. </w:t>
      </w:r>
    </w:p>
    <w:p w14:paraId="7E1958F8" w14:textId="77777777" w:rsidR="00621C7C" w:rsidRDefault="00621C7C" w:rsidP="00F723CC"/>
    <w:p w14:paraId="2D770FCA" w14:textId="77777777" w:rsidR="00756356" w:rsidRDefault="00756356" w:rsidP="00F723CC">
      <w:r>
        <w:t xml:space="preserve">Roitman Rosenmann, Marcos (2014). « La lucha contra Zapatismo », </w:t>
      </w:r>
      <w:r>
        <w:rPr>
          <w:i/>
        </w:rPr>
        <w:t>La Jornada</w:t>
      </w:r>
      <w:r>
        <w:t xml:space="preserve">, 4 janvier 2014. </w:t>
      </w:r>
    </w:p>
    <w:p w14:paraId="4BA58F39" w14:textId="77777777" w:rsidR="00282183" w:rsidRDefault="00282183" w:rsidP="00F723CC"/>
    <w:p w14:paraId="29746B8E" w14:textId="77777777" w:rsidR="00282183" w:rsidRDefault="00282183" w:rsidP="00F723CC">
      <w:r>
        <w:t>Rojas A., Carlos (2</w:t>
      </w:r>
      <w:r w:rsidR="0077722D">
        <w:t xml:space="preserve">014). « En 12 Meses, Alianza </w:t>
      </w:r>
      <w:r w:rsidR="0077722D" w:rsidRPr="00CE2B25">
        <w:t>País</w:t>
      </w:r>
      <w:r w:rsidR="0077722D">
        <w:t xml:space="preserve"> paso del </w:t>
      </w:r>
      <w:r w:rsidR="0077722D" w:rsidRPr="00CE2B25">
        <w:t>triun</w:t>
      </w:r>
      <w:r w:rsidRPr="00CE2B25">
        <w:t>fo</w:t>
      </w:r>
      <w:r>
        <w:t xml:space="preserve"> al revés electoral », </w:t>
      </w:r>
      <w:r>
        <w:rPr>
          <w:i/>
        </w:rPr>
        <w:t>El Comercio.com</w:t>
      </w:r>
      <w:r>
        <w:t xml:space="preserve">, 25 février 2014. </w:t>
      </w:r>
    </w:p>
    <w:p w14:paraId="724EE500" w14:textId="77777777" w:rsidR="00985A5D" w:rsidRDefault="00985A5D" w:rsidP="00F723CC"/>
    <w:p w14:paraId="57B4169A" w14:textId="77777777" w:rsidR="00985A5D" w:rsidRDefault="00985A5D" w:rsidP="00985A5D">
      <w:r>
        <w:t xml:space="preserve">Sader, Emir (2012). </w:t>
      </w:r>
      <w:r w:rsidRPr="008274BC">
        <w:t>« Posneoliberalismo en Brasil »</w:t>
      </w:r>
      <w:r>
        <w:t xml:space="preserve">, </w:t>
      </w:r>
      <w:r w:rsidRPr="00CE2B25">
        <w:rPr>
          <w:i/>
        </w:rPr>
        <w:t>Rebeli</w:t>
      </w:r>
      <w:r w:rsidR="0077722D" w:rsidRPr="00CE2B25">
        <w:rPr>
          <w:i/>
        </w:rPr>
        <w:t>ó</w:t>
      </w:r>
      <w:r w:rsidRPr="00CE2B25">
        <w:rPr>
          <w:i/>
        </w:rPr>
        <w:t>n</w:t>
      </w:r>
      <w:r>
        <w:t xml:space="preserve">, 19 mai 2012. </w:t>
      </w:r>
    </w:p>
    <w:p w14:paraId="32D3F779" w14:textId="77777777" w:rsidR="00985A5D" w:rsidRPr="00282183" w:rsidRDefault="00985A5D" w:rsidP="00F723CC"/>
    <w:p w14:paraId="08C9BB85" w14:textId="77777777" w:rsidR="00617679" w:rsidRDefault="00617679" w:rsidP="00F723CC">
      <w:r>
        <w:t xml:space="preserve">Sader, Emir (2013). « La </w:t>
      </w:r>
      <w:r w:rsidRPr="00CE2B25">
        <w:t>l</w:t>
      </w:r>
      <w:r w:rsidR="0077722D" w:rsidRPr="00CE2B25">
        <w:t>í</w:t>
      </w:r>
      <w:r w:rsidRPr="00CE2B25">
        <w:t>nea</w:t>
      </w:r>
      <w:r>
        <w:t xml:space="preserve"> de Ecuador », </w:t>
      </w:r>
      <w:r w:rsidR="0077722D">
        <w:rPr>
          <w:i/>
        </w:rPr>
        <w:t xml:space="preserve">El </w:t>
      </w:r>
      <w:r w:rsidR="0077722D" w:rsidRPr="00CE2B25">
        <w:rPr>
          <w:i/>
        </w:rPr>
        <w:t>Telé</w:t>
      </w:r>
      <w:r w:rsidRPr="00CE2B25">
        <w:rPr>
          <w:i/>
        </w:rPr>
        <w:t>graf</w:t>
      </w:r>
      <w:r>
        <w:rPr>
          <w:i/>
        </w:rPr>
        <w:t>o</w:t>
      </w:r>
      <w:r>
        <w:t xml:space="preserve">, 29 septembre 2013. </w:t>
      </w:r>
    </w:p>
    <w:p w14:paraId="3E2B99A2" w14:textId="77777777" w:rsidR="00A562DA" w:rsidRDefault="00A562DA" w:rsidP="00F723CC"/>
    <w:p w14:paraId="29B1BE29" w14:textId="77777777" w:rsidR="00A562DA" w:rsidRPr="00A562DA" w:rsidRDefault="00A562DA" w:rsidP="00F723CC">
      <w:r>
        <w:t xml:space="preserve">Sader, Emir (2013b). « La soledad latinoamericana », </w:t>
      </w:r>
      <w:r w:rsidR="007B3BF1" w:rsidRPr="00A8299A">
        <w:rPr>
          <w:i/>
        </w:rPr>
        <w:t>Pá</w:t>
      </w:r>
      <w:r w:rsidRPr="00A8299A">
        <w:rPr>
          <w:i/>
        </w:rPr>
        <w:t>gina</w:t>
      </w:r>
      <w:r>
        <w:rPr>
          <w:i/>
        </w:rPr>
        <w:t xml:space="preserve"> / 12</w:t>
      </w:r>
      <w:r>
        <w:t>, 6 décembre 2013.</w:t>
      </w:r>
    </w:p>
    <w:p w14:paraId="22D8EA5C" w14:textId="77777777" w:rsidR="000440AF" w:rsidRDefault="000440AF" w:rsidP="00F723CC"/>
    <w:p w14:paraId="76A39F7D" w14:textId="77777777" w:rsidR="00084981" w:rsidRDefault="00084981" w:rsidP="000440AF">
      <w:pPr>
        <w:rPr>
          <w:rFonts w:eastAsia="Times New Roman" w:cs="Times New Roman"/>
        </w:rPr>
      </w:pPr>
      <w:r>
        <w:rPr>
          <w:rFonts w:eastAsia="Times New Roman" w:cs="Times New Roman"/>
        </w:rPr>
        <w:t xml:space="preserve">Sader, Emir (2014a). « Brasil: ¿se acabó el ciclo del PT? », </w:t>
      </w:r>
      <w:r>
        <w:rPr>
          <w:rFonts w:eastAsia="Times New Roman" w:cs="Times New Roman"/>
          <w:i/>
        </w:rPr>
        <w:t>La Jornada</w:t>
      </w:r>
      <w:r>
        <w:rPr>
          <w:rFonts w:eastAsia="Times New Roman" w:cs="Times New Roman"/>
        </w:rPr>
        <w:t>, 2 février 2014.</w:t>
      </w:r>
    </w:p>
    <w:p w14:paraId="7E2A76F7" w14:textId="77777777" w:rsidR="00084981" w:rsidRPr="00084981" w:rsidRDefault="00084981" w:rsidP="000440AF">
      <w:pPr>
        <w:rPr>
          <w:lang w:val="fr-FR"/>
        </w:rPr>
      </w:pPr>
    </w:p>
    <w:p w14:paraId="3E22EBF9" w14:textId="77777777" w:rsidR="000440AF" w:rsidRDefault="000440AF" w:rsidP="000440AF">
      <w:pPr>
        <w:rPr>
          <w:lang w:val="fr-FR"/>
        </w:rPr>
      </w:pPr>
      <w:r>
        <w:rPr>
          <w:lang w:val="fr-FR"/>
        </w:rPr>
        <w:t>Sader, Emir (2014</w:t>
      </w:r>
      <w:r w:rsidR="00084981">
        <w:rPr>
          <w:lang w:val="fr-FR"/>
        </w:rPr>
        <w:t>b</w:t>
      </w:r>
      <w:r>
        <w:rPr>
          <w:lang w:val="fr-FR"/>
        </w:rPr>
        <w:t xml:space="preserve">). « Ellos y nosotros. Hacia la hegemonía posneoliberal », </w:t>
      </w:r>
      <w:r>
        <w:rPr>
          <w:i/>
          <w:lang w:val="fr-FR"/>
        </w:rPr>
        <w:t>ALAI</w:t>
      </w:r>
      <w:r w:rsidR="00E350EB">
        <w:rPr>
          <w:lang w:val="fr-FR"/>
        </w:rPr>
        <w:t>, 28 février 2014.</w:t>
      </w:r>
    </w:p>
    <w:p w14:paraId="5CC38E3D" w14:textId="77777777" w:rsidR="00E350EB" w:rsidRDefault="00E350EB" w:rsidP="000440AF">
      <w:pPr>
        <w:rPr>
          <w:lang w:val="fr-FR"/>
        </w:rPr>
      </w:pPr>
    </w:p>
    <w:p w14:paraId="5534B1BF" w14:textId="77777777" w:rsidR="00E350EB" w:rsidRDefault="00E350EB" w:rsidP="000440AF">
      <w:pPr>
        <w:rPr>
          <w:lang w:val="fr-FR"/>
        </w:rPr>
      </w:pPr>
      <w:r>
        <w:rPr>
          <w:lang w:val="fr-FR"/>
        </w:rPr>
        <w:lastRenderedPageBreak/>
        <w:t xml:space="preserve">Sader, Emir (2014c). « Columbia voto por la paz », </w:t>
      </w:r>
      <w:r>
        <w:rPr>
          <w:i/>
          <w:lang w:val="fr-FR"/>
        </w:rPr>
        <w:t>La Jornada</w:t>
      </w:r>
      <w:r>
        <w:rPr>
          <w:lang w:val="fr-FR"/>
        </w:rPr>
        <w:t xml:space="preserve">, 16 juin 2014. </w:t>
      </w:r>
    </w:p>
    <w:p w14:paraId="6193C254" w14:textId="77777777" w:rsidR="009D67E2" w:rsidRDefault="009D67E2" w:rsidP="000440AF">
      <w:pPr>
        <w:rPr>
          <w:lang w:val="fr-FR"/>
        </w:rPr>
      </w:pPr>
    </w:p>
    <w:p w14:paraId="7C92F777" w14:textId="77777777" w:rsidR="009D67E2" w:rsidRDefault="009D67E2" w:rsidP="009D67E2">
      <w:r>
        <w:t>Saint-Upéry, Marc (2011). "La Bolivie d'Evo Morales entre progrès et désenchantement</w:t>
      </w:r>
      <w:r w:rsidR="00903B96">
        <w:t>. Entrevue avec Pablo Stefanoni</w:t>
      </w:r>
      <w:r>
        <w:t>", Mediapart, 6 octobre 2011</w:t>
      </w:r>
      <w:r w:rsidR="00903B96">
        <w:t>.</w:t>
      </w:r>
    </w:p>
    <w:p w14:paraId="2D2C801A" w14:textId="77777777" w:rsidR="009D67E2" w:rsidRDefault="00E744D6" w:rsidP="009D67E2">
      <w:hyperlink r:id="rId20" w:history="1">
        <w:r w:rsidR="009D67E2" w:rsidRPr="005945FA">
          <w:rPr>
            <w:rStyle w:val="Lienhypertexte"/>
          </w:rPr>
          <w:t>http://www.cetri.be/spip.php?article2334</w:t>
        </w:r>
      </w:hyperlink>
      <w:r w:rsidR="009D67E2">
        <w:t>.</w:t>
      </w:r>
    </w:p>
    <w:p w14:paraId="1F3B2044" w14:textId="77777777" w:rsidR="00661036" w:rsidRDefault="00661036" w:rsidP="009D67E2"/>
    <w:p w14:paraId="3A519ABC" w14:textId="77777777" w:rsidR="00661036" w:rsidRPr="00A8299A" w:rsidRDefault="00661036" w:rsidP="00661036">
      <w:pPr>
        <w:rPr>
          <w:lang w:val="es-MX"/>
        </w:rPr>
      </w:pPr>
      <w:r w:rsidRPr="00A8299A">
        <w:rPr>
          <w:lang w:val="es-MX"/>
        </w:rPr>
        <w:t xml:space="preserve">Sarria Icaza, Ana </w:t>
      </w:r>
      <w:r w:rsidR="007B3BF1" w:rsidRPr="00A8299A">
        <w:rPr>
          <w:lang w:val="es-MX"/>
        </w:rPr>
        <w:t>Mercedes (2002). “Economí</w:t>
      </w:r>
      <w:r w:rsidRPr="00A8299A">
        <w:rPr>
          <w:lang w:val="es-MX"/>
        </w:rPr>
        <w:t>a</w:t>
      </w:r>
      <w:r w:rsidR="007B3BF1" w:rsidRPr="00A8299A">
        <w:rPr>
          <w:lang w:val="es-MX"/>
        </w:rPr>
        <w:t xml:space="preserve"> solidaria, prá</w:t>
      </w:r>
      <w:r w:rsidRPr="00A8299A">
        <w:rPr>
          <w:lang w:val="es-MX"/>
        </w:rPr>
        <w:t xml:space="preserve">cticas cooperativas y desarrollo local en el sur de Brasil”, </w:t>
      </w:r>
      <w:r w:rsidRPr="00A8299A">
        <w:rPr>
          <w:i/>
          <w:lang w:val="es-MX"/>
        </w:rPr>
        <w:t>C</w:t>
      </w:r>
      <w:r w:rsidR="007B3BF1" w:rsidRPr="00A8299A">
        <w:rPr>
          <w:i/>
          <w:lang w:val="es-MX"/>
        </w:rPr>
        <w:t>IRIEC-Espana, Revista de Economía Pú</w:t>
      </w:r>
      <w:r w:rsidRPr="00A8299A">
        <w:rPr>
          <w:i/>
          <w:lang w:val="es-MX"/>
        </w:rPr>
        <w:t>blica, Social y Cooperativa</w:t>
      </w:r>
      <w:r w:rsidRPr="00A8299A">
        <w:rPr>
          <w:lang w:val="es-MX"/>
        </w:rPr>
        <w:t>, no 43, extraordinario, noviembre 2002, 41-59.</w:t>
      </w:r>
    </w:p>
    <w:p w14:paraId="67A9E374" w14:textId="77777777" w:rsidR="00661036" w:rsidRPr="00A8299A" w:rsidRDefault="00661036" w:rsidP="00661036">
      <w:pPr>
        <w:rPr>
          <w:lang w:val="es-MX"/>
        </w:rPr>
      </w:pPr>
    </w:p>
    <w:p w14:paraId="7B87CC14" w14:textId="77777777" w:rsidR="00661036" w:rsidRPr="00A8299A" w:rsidRDefault="00661036" w:rsidP="009D67E2">
      <w:pPr>
        <w:rPr>
          <w:lang w:val="es-MX"/>
        </w:rPr>
      </w:pPr>
      <w:r w:rsidRPr="00A8299A">
        <w:rPr>
          <w:lang w:val="es-MX"/>
        </w:rPr>
        <w:t xml:space="preserve">Sarria Icaza, Ana Mercedes (2005). “Politiques publiques et économie solidaire au Rio Grande do Sul”, dans Jean-Louis Laville, Jean-Philippe Magnen, Genauto C. De França Filho et Alzira Medeiros (Eds). </w:t>
      </w:r>
      <w:r w:rsidRPr="00A8299A">
        <w:rPr>
          <w:i/>
          <w:lang w:val="es-MX"/>
        </w:rPr>
        <w:t>Action publique et économie solidaire</w:t>
      </w:r>
      <w:r w:rsidRPr="00A8299A">
        <w:rPr>
          <w:lang w:val="es-MX"/>
        </w:rPr>
        <w:t xml:space="preserve">. </w:t>
      </w:r>
      <w:r w:rsidRPr="00A8299A">
        <w:rPr>
          <w:i/>
          <w:lang w:val="es-MX"/>
        </w:rPr>
        <w:t>Une perspective internationale</w:t>
      </w:r>
      <w:r w:rsidRPr="00A8299A">
        <w:rPr>
          <w:lang w:val="es-MX"/>
        </w:rPr>
        <w:t xml:space="preserve">, Paris, Érès, 243-247. </w:t>
      </w:r>
    </w:p>
    <w:p w14:paraId="23AD0D89" w14:textId="77777777" w:rsidR="0004608E" w:rsidRPr="00A8299A" w:rsidRDefault="0004608E" w:rsidP="009D67E2">
      <w:pPr>
        <w:rPr>
          <w:lang w:val="es-MX"/>
        </w:rPr>
      </w:pPr>
    </w:p>
    <w:p w14:paraId="40ECF465" w14:textId="77777777" w:rsidR="0004608E" w:rsidRPr="00661036" w:rsidRDefault="0004608E" w:rsidP="009D67E2">
      <w:pPr>
        <w:rPr>
          <w:lang w:val="es-MX"/>
        </w:rPr>
      </w:pPr>
      <w:r w:rsidRPr="00A8299A">
        <w:rPr>
          <w:lang w:val="es-MX"/>
        </w:rPr>
        <w:t xml:space="preserve">Sarria Icaza, Ana Mercedes (2013). </w:t>
      </w:r>
      <w:r w:rsidR="007B3BF1" w:rsidRPr="00A8299A">
        <w:rPr>
          <w:lang w:val="es-MX"/>
        </w:rPr>
        <w:t>“La Economía Solidaria como polí</w:t>
      </w:r>
      <w:r w:rsidRPr="00A8299A">
        <w:rPr>
          <w:lang w:val="es-MX"/>
        </w:rPr>
        <w:t xml:space="preserve">tica </w:t>
      </w:r>
      <w:r w:rsidR="007B3BF1" w:rsidRPr="00A8299A">
        <w:rPr>
          <w:lang w:val="es-MX"/>
        </w:rPr>
        <w:t>y estrategia de desarrollo. Políticas pú</w:t>
      </w:r>
      <w:r w:rsidRPr="00A8299A">
        <w:rPr>
          <w:lang w:val="es-MX"/>
        </w:rPr>
        <w:t>blicas</w:t>
      </w:r>
      <w:r w:rsidR="007B3BF1" w:rsidRPr="00A8299A">
        <w:rPr>
          <w:lang w:val="es-MX"/>
        </w:rPr>
        <w:t>, movimiento social y desafí</w:t>
      </w:r>
      <w:r w:rsidRPr="00A8299A">
        <w:rPr>
          <w:lang w:val="es-MX"/>
        </w:rPr>
        <w:t>os en Brasil”, Forum brésilien d’économie solidaire (FBES), 5 p.</w:t>
      </w:r>
      <w:r>
        <w:rPr>
          <w:lang w:val="es-MX"/>
        </w:rPr>
        <w:t xml:space="preserve"> </w:t>
      </w:r>
    </w:p>
    <w:p w14:paraId="5D68A64C" w14:textId="77777777" w:rsidR="005051B7" w:rsidRDefault="005051B7" w:rsidP="000440AF"/>
    <w:p w14:paraId="12C0A920" w14:textId="77777777" w:rsidR="005051B7" w:rsidRDefault="007B3BF1" w:rsidP="007B3BF1">
      <w:pPr>
        <w:tabs>
          <w:tab w:val="left" w:pos="1276"/>
        </w:tabs>
        <w:rPr>
          <w:lang w:val="fr-FR"/>
        </w:rPr>
      </w:pPr>
      <w:r>
        <w:t>Saxe-</w:t>
      </w:r>
      <w:r w:rsidRPr="00A8299A">
        <w:t>Ferná</w:t>
      </w:r>
      <w:r w:rsidR="005051B7" w:rsidRPr="00A8299A">
        <w:t>ndez</w:t>
      </w:r>
      <w:r w:rsidR="005051B7">
        <w:t>, John (2014</w:t>
      </w:r>
      <w:r w:rsidR="005051B7" w:rsidRPr="00127F2A">
        <w:t>).</w:t>
      </w:r>
      <w:r w:rsidR="005051B7">
        <w:t xml:space="preserve"> « </w:t>
      </w:r>
      <w:r w:rsidR="005051B7">
        <w:rPr>
          <w:lang w:val="fr-FR"/>
        </w:rPr>
        <w:t xml:space="preserve">¿Debacle petrolera? », </w:t>
      </w:r>
      <w:r w:rsidR="005051B7">
        <w:rPr>
          <w:i/>
          <w:lang w:val="fr-FR"/>
        </w:rPr>
        <w:t>La Jornada</w:t>
      </w:r>
      <w:r w:rsidR="005051B7">
        <w:rPr>
          <w:lang w:val="fr-FR"/>
        </w:rPr>
        <w:t>, 9 janvier 2014.</w:t>
      </w:r>
    </w:p>
    <w:p w14:paraId="0424D93D" w14:textId="77777777" w:rsidR="00314DBC" w:rsidRDefault="00314DBC" w:rsidP="000440AF">
      <w:pPr>
        <w:rPr>
          <w:lang w:val="fr-FR"/>
        </w:rPr>
      </w:pPr>
    </w:p>
    <w:p w14:paraId="14AEBDDF" w14:textId="77777777" w:rsidR="00314DBC" w:rsidRDefault="00314DBC" w:rsidP="000440AF">
      <w:pPr>
        <w:rPr>
          <w:lang w:val="fr-FR"/>
        </w:rPr>
      </w:pPr>
      <w:r>
        <w:rPr>
          <w:lang w:val="fr-FR"/>
        </w:rPr>
        <w:t>Sénat de la France (2014). « Chili : le Sénat ». Site visité le 6 juillet 2014.</w:t>
      </w:r>
      <w:r w:rsidR="00EF7311">
        <w:rPr>
          <w:lang w:val="fr-FR"/>
        </w:rPr>
        <w:t xml:space="preserve"> Dernière mise à jour : juin 2013.</w:t>
      </w:r>
    </w:p>
    <w:p w14:paraId="0EB6DD25" w14:textId="77777777" w:rsidR="00314DBC" w:rsidRDefault="00E744D6" w:rsidP="000440AF">
      <w:pPr>
        <w:rPr>
          <w:lang w:val="fr-FR"/>
        </w:rPr>
      </w:pPr>
      <w:hyperlink r:id="rId21" w:history="1">
        <w:r w:rsidR="001A0763" w:rsidRPr="007220D4">
          <w:rPr>
            <w:rStyle w:val="Lienhypertexte"/>
            <w:lang w:val="fr-FR"/>
          </w:rPr>
          <w:t>http://www.senat.fr/senatsdumonde/chili.html</w:t>
        </w:r>
      </w:hyperlink>
    </w:p>
    <w:p w14:paraId="184E92B6" w14:textId="77777777" w:rsidR="001A0763" w:rsidRDefault="001A0763" w:rsidP="000440AF">
      <w:pPr>
        <w:rPr>
          <w:lang w:val="fr-FR"/>
        </w:rPr>
      </w:pPr>
    </w:p>
    <w:p w14:paraId="195F016C" w14:textId="77777777" w:rsidR="001A0763" w:rsidRPr="00E350EB" w:rsidRDefault="007B3BF1" w:rsidP="000440AF">
      <w:pPr>
        <w:rPr>
          <w:lang w:val="fr-FR"/>
        </w:rPr>
      </w:pPr>
      <w:r w:rsidRPr="00A8299A">
        <w:t>Secretarí</w:t>
      </w:r>
      <w:r w:rsidR="001A0763" w:rsidRPr="00A8299A">
        <w:t>a</w:t>
      </w:r>
      <w:r>
        <w:t xml:space="preserve"> Nacional de </w:t>
      </w:r>
      <w:r w:rsidRPr="00A8299A">
        <w:t>Planificació</w:t>
      </w:r>
      <w:r w:rsidR="001A0763" w:rsidRPr="00A8299A">
        <w:t>n</w:t>
      </w:r>
      <w:r w:rsidR="001A0763">
        <w:t xml:space="preserve"> y Desarrollo (SENPLADES) (2009). </w:t>
      </w:r>
      <w:r w:rsidR="0077722D" w:rsidRPr="00CE2B25">
        <w:rPr>
          <w:i/>
        </w:rPr>
        <w:t>Consolidació</w:t>
      </w:r>
      <w:r w:rsidR="001A0763" w:rsidRPr="00CE2B25">
        <w:rPr>
          <w:i/>
        </w:rPr>
        <w:t>n</w:t>
      </w:r>
      <w:r w:rsidR="001A0763">
        <w:rPr>
          <w:i/>
        </w:rPr>
        <w:t xml:space="preserve"> del Estado Nacional para alcanzar el Buen Vivir. Memoria Bienal 2007-2009</w:t>
      </w:r>
      <w:r w:rsidR="001A0763">
        <w:t>, Quito, SENPLADES.</w:t>
      </w:r>
    </w:p>
    <w:p w14:paraId="6CC653A3" w14:textId="77777777" w:rsidR="0042772E" w:rsidRDefault="0042772E" w:rsidP="000440AF">
      <w:pPr>
        <w:rPr>
          <w:lang w:val="fr-FR"/>
        </w:rPr>
      </w:pPr>
    </w:p>
    <w:p w14:paraId="0F839864" w14:textId="77777777" w:rsidR="0042772E" w:rsidRDefault="005F7A4C" w:rsidP="0042772E">
      <w:r>
        <w:rPr>
          <w:lang w:val="fr-FR"/>
        </w:rPr>
        <w:t xml:space="preserve">Smink, </w:t>
      </w:r>
      <w:r w:rsidRPr="00A8299A">
        <w:rPr>
          <w:lang w:val="fr-FR"/>
        </w:rPr>
        <w:t>Veró</w:t>
      </w:r>
      <w:r w:rsidR="0042772E" w:rsidRPr="00A8299A">
        <w:rPr>
          <w:lang w:val="fr-FR"/>
        </w:rPr>
        <w:t>nica</w:t>
      </w:r>
      <w:r w:rsidR="0042772E">
        <w:rPr>
          <w:lang w:val="fr-FR"/>
        </w:rPr>
        <w:t xml:space="preserve"> (2014). « </w:t>
      </w:r>
      <w:r w:rsidR="0042772E">
        <w:t xml:space="preserve">¿Perdió Evo Morales el respaldo de sus bases? », </w:t>
      </w:r>
      <w:r w:rsidR="0042772E">
        <w:rPr>
          <w:i/>
        </w:rPr>
        <w:t>BBC Mundo</w:t>
      </w:r>
      <w:r w:rsidR="0042772E">
        <w:t>, 9 avril 2014.</w:t>
      </w:r>
    </w:p>
    <w:p w14:paraId="4679F7B0" w14:textId="77777777" w:rsidR="0029015D" w:rsidRDefault="0029015D" w:rsidP="0042772E"/>
    <w:p w14:paraId="50200017" w14:textId="77777777" w:rsidR="0029015D" w:rsidRDefault="0029015D" w:rsidP="0042772E">
      <w:r>
        <w:t xml:space="preserve">Stefanoni, Pablo et Hervé Do Alto (2006). « L’Assemblée constituante au centre des expectatives », </w:t>
      </w:r>
      <w:r w:rsidRPr="00924163">
        <w:rPr>
          <w:i/>
        </w:rPr>
        <w:t>RISAL info</w:t>
      </w:r>
      <w:r>
        <w:t xml:space="preserve">, 15 novembre 2006. </w:t>
      </w:r>
    </w:p>
    <w:p w14:paraId="76B0546F" w14:textId="77777777" w:rsidR="00CC49B1" w:rsidRDefault="00CC49B1" w:rsidP="0042772E"/>
    <w:p w14:paraId="65A41D9C" w14:textId="77777777" w:rsidR="00CC49B1" w:rsidRPr="00CC49B1" w:rsidRDefault="00CC49B1" w:rsidP="0042772E">
      <w:r>
        <w:t xml:space="preserve">Stefanoni, Pablo (2009). « Un vote qui montre une fois de plus une Bolivie divisée en deux », </w:t>
      </w:r>
      <w:r>
        <w:rPr>
          <w:i/>
        </w:rPr>
        <w:t>RISAL info</w:t>
      </w:r>
      <w:r>
        <w:t xml:space="preserve">, 28 janvier 2009. </w:t>
      </w:r>
    </w:p>
    <w:p w14:paraId="6410CA1A" w14:textId="77777777" w:rsidR="008312C5" w:rsidRDefault="008312C5" w:rsidP="000440AF">
      <w:pPr>
        <w:rPr>
          <w:lang w:val="fr-FR"/>
        </w:rPr>
      </w:pPr>
    </w:p>
    <w:p w14:paraId="73263EE1" w14:textId="77777777" w:rsidR="008312C5" w:rsidRPr="008312C5" w:rsidRDefault="008312C5" w:rsidP="000440AF">
      <w:pPr>
        <w:rPr>
          <w:lang w:val="fr-FR"/>
        </w:rPr>
      </w:pPr>
      <w:r>
        <w:rPr>
          <w:lang w:val="fr-FR"/>
        </w:rPr>
        <w:t>Tavares, Joana (</w:t>
      </w:r>
      <w:r w:rsidR="0077722D">
        <w:rPr>
          <w:lang w:val="fr-FR"/>
        </w:rPr>
        <w:t xml:space="preserve">2014). « Brasil. El capital </w:t>
      </w:r>
      <w:r w:rsidR="0077722D" w:rsidRPr="00CE2B25">
        <w:rPr>
          <w:lang w:val="fr-FR"/>
        </w:rPr>
        <w:t>está</w:t>
      </w:r>
      <w:r>
        <w:rPr>
          <w:lang w:val="fr-FR"/>
        </w:rPr>
        <w:t xml:space="preserve"> imponiendo el agronegocio como la </w:t>
      </w:r>
      <w:r w:rsidR="0077722D" w:rsidRPr="00CE2B25">
        <w:rPr>
          <w:lang w:val="fr-FR"/>
        </w:rPr>
        <w:t>ú</w:t>
      </w:r>
      <w:r w:rsidRPr="00CE2B25">
        <w:rPr>
          <w:lang w:val="fr-FR"/>
        </w:rPr>
        <w:t>nica</w:t>
      </w:r>
      <w:r>
        <w:rPr>
          <w:lang w:val="fr-FR"/>
        </w:rPr>
        <w:t xml:space="preserve"> forma de producir », Entrevue avec Joao Pedro Stedile de la direction du MTS, </w:t>
      </w:r>
      <w:r>
        <w:rPr>
          <w:i/>
          <w:lang w:val="fr-FR"/>
        </w:rPr>
        <w:t>ALAI</w:t>
      </w:r>
      <w:r>
        <w:rPr>
          <w:lang w:val="fr-FR"/>
        </w:rPr>
        <w:t xml:space="preserve">, 6 février 2014. </w:t>
      </w:r>
    </w:p>
    <w:p w14:paraId="1D472C1C" w14:textId="77777777" w:rsidR="00756356" w:rsidRPr="00756356" w:rsidRDefault="00756356" w:rsidP="00F723CC"/>
    <w:p w14:paraId="4E73F714" w14:textId="77777777" w:rsidR="00621C7C" w:rsidRDefault="00621C7C" w:rsidP="00621C7C">
      <w:pPr>
        <w:widowControl w:val="0"/>
        <w:autoSpaceDE w:val="0"/>
        <w:autoSpaceDN w:val="0"/>
        <w:adjustRightInd w:val="0"/>
      </w:pPr>
      <w:r>
        <w:t xml:space="preserve">Vaillancourt, Yves, en collaboration avec Philippe Leclerc (2008). </w:t>
      </w:r>
      <w:r>
        <w:rPr>
          <w:i/>
        </w:rPr>
        <w:t>Note de recherche sur l’apport de l’économie sociale dans la coproduction et la coconstruction des politiques publiques</w:t>
      </w:r>
      <w:r>
        <w:t>, Cahiers du LAREPPS, No 08-01, en coédition avec le CRISES et l’ARUC ISDC, Montréal, Janvier 2008, 31 p.</w:t>
      </w:r>
    </w:p>
    <w:p w14:paraId="51DA89FD" w14:textId="77777777" w:rsidR="00925340" w:rsidRPr="005E43A5" w:rsidRDefault="00621C7C" w:rsidP="005E43A5">
      <w:pPr>
        <w:widowControl w:val="0"/>
        <w:autoSpaceDE w:val="0"/>
        <w:autoSpaceDN w:val="0"/>
        <w:adjustRightInd w:val="0"/>
      </w:pPr>
      <w:r>
        <w:t xml:space="preserve"> </w:t>
      </w:r>
    </w:p>
    <w:p w14:paraId="47EC92F0" w14:textId="77777777" w:rsidR="00925340" w:rsidRPr="00925340" w:rsidRDefault="00925340" w:rsidP="00063184">
      <w:pPr>
        <w:rPr>
          <w:lang w:val="fr-FR"/>
        </w:rPr>
      </w:pPr>
      <w:r>
        <w:rPr>
          <w:lang w:val="fr-FR"/>
        </w:rPr>
        <w:lastRenderedPageBreak/>
        <w:t xml:space="preserve">Vaillancourt, Yves et Christian Jetté (2009). </w:t>
      </w:r>
      <w:r w:rsidRPr="00063184">
        <w:rPr>
          <w:i/>
          <w:lang w:val="fr-FR"/>
        </w:rPr>
        <w:t>Les arrangements institutionnels entre l’État québécois et les entreprises d’économie sociale en aide domestique</w:t>
      </w:r>
      <w:r>
        <w:rPr>
          <w:lang w:val="fr-FR"/>
        </w:rPr>
        <w:t>, Montréal, Éditions vie économique.</w:t>
      </w:r>
    </w:p>
    <w:p w14:paraId="59CDEDD5" w14:textId="77777777" w:rsidR="00B82DC8" w:rsidRPr="00DB2ED1" w:rsidRDefault="00B82DC8" w:rsidP="00063184"/>
    <w:p w14:paraId="4C29ECC1" w14:textId="77777777" w:rsidR="00B82DC8" w:rsidRDefault="00B82DC8" w:rsidP="00B82DC8">
      <w:r w:rsidRPr="00CB381B">
        <w:t xml:space="preserve">Vaillancourt, Yves (2009). « Social economy and the co-construction of public policy », </w:t>
      </w:r>
      <w:r w:rsidRPr="00CB381B">
        <w:rPr>
          <w:i/>
        </w:rPr>
        <w:t xml:space="preserve">Annals of Public and Cooperative Economics / Annales de l’économie publique, sociale et coopérative, </w:t>
      </w:r>
      <w:r w:rsidRPr="00CB381B">
        <w:t>80(2), 275-313.</w:t>
      </w:r>
    </w:p>
    <w:p w14:paraId="7F6C82EC" w14:textId="77777777" w:rsidR="008223D5" w:rsidRDefault="008223D5" w:rsidP="00B82DC8"/>
    <w:p w14:paraId="00E79DA3" w14:textId="77777777" w:rsidR="008223D5" w:rsidRPr="00DB2ED1" w:rsidRDefault="00BA649A" w:rsidP="008223D5">
      <w:pPr>
        <w:rPr>
          <w:lang w:val="en-CA"/>
        </w:rPr>
      </w:pPr>
      <w:r w:rsidRPr="00DB2ED1">
        <w:rPr>
          <w:color w:val="0000FF"/>
          <w:lang w:val="en-CA"/>
        </w:rPr>
        <w:t>Vaillancourt, Yves (</w:t>
      </w:r>
      <w:r w:rsidR="008223D5" w:rsidRPr="00DB2ED1">
        <w:rPr>
          <w:color w:val="0000FF"/>
          <w:lang w:val="en-CA"/>
        </w:rPr>
        <w:t>2010</w:t>
      </w:r>
      <w:r w:rsidRPr="00DB2ED1">
        <w:rPr>
          <w:lang w:val="en-CA"/>
        </w:rPr>
        <w:t>)</w:t>
      </w:r>
      <w:r w:rsidR="00F54A59" w:rsidRPr="00DB2ED1">
        <w:rPr>
          <w:lang w:val="en-CA"/>
        </w:rPr>
        <w:t>.</w:t>
      </w:r>
      <w:r w:rsidR="008223D5" w:rsidRPr="00DB2ED1">
        <w:rPr>
          <w:lang w:val="en-CA"/>
        </w:rPr>
        <w:t xml:space="preserve"> « The Social Economy in Quebec and Canada: Configurations Past and Present ». Dans Living Economics. Canadian Perspectives on the Social Economy, Cooperatives, and Community Economic Development, J. J. Mc- Murtry (éd.). Toronto : Emond Montgomery Publications.</w:t>
      </w:r>
    </w:p>
    <w:p w14:paraId="50971A1B" w14:textId="77777777" w:rsidR="00366059" w:rsidRPr="00DB2ED1" w:rsidRDefault="00366059" w:rsidP="008223D5">
      <w:pPr>
        <w:rPr>
          <w:lang w:val="en-CA"/>
        </w:rPr>
      </w:pPr>
    </w:p>
    <w:p w14:paraId="4FD157DF" w14:textId="77777777" w:rsidR="00366059" w:rsidRPr="00DB2ED1" w:rsidRDefault="00366059" w:rsidP="00366059">
      <w:pPr>
        <w:rPr>
          <w:lang w:val="en-CA"/>
        </w:rPr>
      </w:pPr>
      <w:r w:rsidRPr="00DB2ED1">
        <w:rPr>
          <w:lang w:val="en-CA"/>
        </w:rPr>
        <w:t xml:space="preserve">Vaillancourt, Yves (2011). « El proyecto de sociedad alternativa en Ecuador : Socialismo o Social-democracia del siglo XXI ? », </w:t>
      </w:r>
      <w:r w:rsidR="00063184" w:rsidRPr="00DB2ED1">
        <w:rPr>
          <w:i/>
          <w:lang w:val="en-CA"/>
        </w:rPr>
        <w:t xml:space="preserve">La </w:t>
      </w:r>
      <w:r w:rsidRPr="00DB2ED1">
        <w:rPr>
          <w:i/>
          <w:lang w:val="en-CA"/>
        </w:rPr>
        <w:t>Tendencia</w:t>
      </w:r>
      <w:r w:rsidRPr="00DB2ED1">
        <w:rPr>
          <w:lang w:val="en-CA"/>
        </w:rPr>
        <w:t xml:space="preserve">, </w:t>
      </w:r>
      <w:r w:rsidR="00063184" w:rsidRPr="00DB2ED1">
        <w:rPr>
          <w:lang w:val="en-CA"/>
        </w:rPr>
        <w:t xml:space="preserve">No 12, </w:t>
      </w:r>
      <w:r w:rsidRPr="00DB2ED1">
        <w:rPr>
          <w:lang w:val="en-CA"/>
        </w:rPr>
        <w:t>92-97</w:t>
      </w:r>
      <w:r w:rsidRPr="00DB2ED1">
        <w:rPr>
          <w:i/>
          <w:lang w:val="en-CA"/>
        </w:rPr>
        <w:t>.</w:t>
      </w:r>
      <w:r w:rsidRPr="00DB2ED1">
        <w:rPr>
          <w:lang w:val="en-CA"/>
        </w:rPr>
        <w:t xml:space="preserve"> </w:t>
      </w:r>
    </w:p>
    <w:p w14:paraId="2D24F80E" w14:textId="77777777" w:rsidR="0035007C" w:rsidRPr="00DB2ED1" w:rsidRDefault="0035007C" w:rsidP="00F723CC">
      <w:pPr>
        <w:rPr>
          <w:lang w:val="en-CA"/>
        </w:rPr>
      </w:pPr>
    </w:p>
    <w:p w14:paraId="7E4CF617" w14:textId="77777777" w:rsidR="0035007C" w:rsidRDefault="0035007C" w:rsidP="0035007C">
      <w:pPr>
        <w:rPr>
          <w:lang w:val="en-CA"/>
        </w:rPr>
      </w:pPr>
      <w:r>
        <w:rPr>
          <w:lang w:val="en-CA"/>
        </w:rPr>
        <w:t>Vaillancourt, Yves (2012</w:t>
      </w:r>
      <w:r w:rsidRPr="00CB381B">
        <w:rPr>
          <w:lang w:val="en-CA"/>
        </w:rPr>
        <w:t xml:space="preserve">). « Third Sector and the Co-construction of Canadian Public Policy », in Pestoff, Victor, Brandsen, Taco </w:t>
      </w:r>
      <w:r w:rsidR="00B82DC8">
        <w:rPr>
          <w:lang w:val="en-CA"/>
        </w:rPr>
        <w:t xml:space="preserve">et </w:t>
      </w:r>
      <w:r w:rsidRPr="00CB381B">
        <w:rPr>
          <w:lang w:val="en-CA"/>
        </w:rPr>
        <w:t xml:space="preserve">Bram Verschuere (2012). </w:t>
      </w:r>
      <w:r w:rsidRPr="00CB381B">
        <w:rPr>
          <w:i/>
          <w:lang w:val="en-CA"/>
        </w:rPr>
        <w:t>New Public Governance, the Third Sector and Co-Production</w:t>
      </w:r>
      <w:r w:rsidRPr="00CB381B">
        <w:rPr>
          <w:lang w:val="en-CA"/>
        </w:rPr>
        <w:t xml:space="preserve">, New York &amp; Abingdon, UK, Routledge, 79-100. </w:t>
      </w:r>
    </w:p>
    <w:p w14:paraId="6989DBB8" w14:textId="77777777" w:rsidR="00AA6F33" w:rsidRDefault="00AA6F33" w:rsidP="0035007C">
      <w:pPr>
        <w:rPr>
          <w:lang w:val="en-CA"/>
        </w:rPr>
      </w:pPr>
    </w:p>
    <w:p w14:paraId="68BF1C59" w14:textId="77777777" w:rsidR="00AA6F33" w:rsidRDefault="00AA6F33" w:rsidP="0035007C">
      <w:r>
        <w:t>Vaillancourt</w:t>
      </w:r>
      <w:r w:rsidR="000206C1">
        <w:t>, Yves</w:t>
      </w:r>
      <w:r>
        <w:t xml:space="preserve"> (2013). « L’économie sociale et solidaire en Amérique latine depuis Rio+20 », </w:t>
      </w:r>
      <w:r>
        <w:rPr>
          <w:i/>
        </w:rPr>
        <w:t>Revue vie économique</w:t>
      </w:r>
      <w:r>
        <w:t xml:space="preserve">, vol. 5, no 1 (septembre 2013). Disponible sur : </w:t>
      </w:r>
      <w:hyperlink r:id="rId22" w:history="1">
        <w:r w:rsidRPr="00857B8C">
          <w:rPr>
            <w:rStyle w:val="Lienhypertexte"/>
          </w:rPr>
          <w:t>http://www.eve.coop/?a=202</w:t>
        </w:r>
      </w:hyperlink>
      <w:r>
        <w:t>.</w:t>
      </w:r>
    </w:p>
    <w:p w14:paraId="06AF81DD" w14:textId="77777777" w:rsidR="00011EA1" w:rsidRDefault="00011EA1" w:rsidP="0035007C"/>
    <w:p w14:paraId="1615B49C" w14:textId="77777777" w:rsidR="00D23F58" w:rsidRDefault="00011EA1" w:rsidP="00D23F58">
      <w:r>
        <w:t>Vaillancourt</w:t>
      </w:r>
      <w:r w:rsidR="000206C1">
        <w:t>, Yves</w:t>
      </w:r>
      <w:r>
        <w:t xml:space="preserve"> (2014). « Le tiers secteur dans la co-construction des politiques publiques canadiennes », </w:t>
      </w:r>
      <w:r>
        <w:rPr>
          <w:i/>
        </w:rPr>
        <w:t>Canadian Public Policy  Analyse de politiques</w:t>
      </w:r>
      <w:r>
        <w:t>, XL Supplement / numéro s</w:t>
      </w:r>
      <w:r w:rsidR="0000544C">
        <w:t>pécial I, April / avril 2014</w:t>
      </w:r>
      <w:r w:rsidR="0004081E">
        <w:t>, S4-S16</w:t>
      </w:r>
      <w:r w:rsidR="0000544C">
        <w:t xml:space="preserve">. </w:t>
      </w:r>
    </w:p>
    <w:p w14:paraId="59BE766C" w14:textId="77777777" w:rsidR="0000544C" w:rsidRDefault="0000544C" w:rsidP="00D23F58"/>
    <w:p w14:paraId="7AD1FE73" w14:textId="77777777" w:rsidR="00A3745E" w:rsidRPr="00DB2ED1" w:rsidRDefault="00A3745E" w:rsidP="006B64A9">
      <w:pPr>
        <w:rPr>
          <w:lang w:val="en-CA"/>
        </w:rPr>
      </w:pPr>
      <w:r>
        <w:t xml:space="preserve">Vaillancourt, Yves et François Aubry (2014). </w:t>
      </w:r>
      <w:r w:rsidR="002735F5" w:rsidRPr="00DB2ED1">
        <w:rPr>
          <w:i/>
          <w:lang w:val="en-CA"/>
        </w:rPr>
        <w:t>Research Report on the Québec Act to Combat Poverty and Social Inclusion, a Case of Democratic Co-Construction of Public Policy</w:t>
      </w:r>
      <w:r w:rsidR="002735F5" w:rsidRPr="00DB2ED1">
        <w:rPr>
          <w:lang w:val="en-CA"/>
        </w:rPr>
        <w:t xml:space="preserve">, Winnipeg, Council of Canadians with Disabilities (CCD), 34 p. </w:t>
      </w:r>
    </w:p>
    <w:p w14:paraId="651B6D39" w14:textId="77777777" w:rsidR="00B82DC8" w:rsidRPr="00DB2ED1" w:rsidRDefault="00E744D6" w:rsidP="00B82DC8">
      <w:pPr>
        <w:rPr>
          <w:rStyle w:val="Lienhypertexte"/>
          <w:lang w:val="en-CA"/>
        </w:rPr>
      </w:pPr>
      <w:hyperlink r:id="rId23" w:history="1">
        <w:r w:rsidR="00B82DC8" w:rsidRPr="00DB2ED1">
          <w:rPr>
            <w:rStyle w:val="Lienhypertexte"/>
            <w:lang w:val="en-CA"/>
          </w:rPr>
          <w:t>http://www.ccdonline.ca/en/socialpolicy/poverty-citizenship</w:t>
        </w:r>
      </w:hyperlink>
    </w:p>
    <w:p w14:paraId="683A0FD4" w14:textId="77777777" w:rsidR="008570BD" w:rsidRPr="00DB2ED1" w:rsidRDefault="008570BD" w:rsidP="00B82DC8">
      <w:pPr>
        <w:rPr>
          <w:rStyle w:val="Lienhypertexte"/>
          <w:lang w:val="en-CA"/>
        </w:rPr>
      </w:pPr>
    </w:p>
    <w:p w14:paraId="167E15FB" w14:textId="77777777" w:rsidR="008570BD" w:rsidRPr="008570BD" w:rsidRDefault="008570BD" w:rsidP="00B82DC8">
      <w:pPr>
        <w:rPr>
          <w:rStyle w:val="Lienhypertexte"/>
          <w:u w:val="none"/>
        </w:rPr>
      </w:pPr>
      <w:r>
        <w:t xml:space="preserve">Vaillancourt, Yves (à paraître en 2015). « La co-construction des politiques publiques », dans Laville, Jean-Louis et Anne Salmon (Eds), </w:t>
      </w:r>
      <w:r>
        <w:rPr>
          <w:i/>
        </w:rPr>
        <w:t>Associations et actions publiques</w:t>
      </w:r>
      <w:r>
        <w:t>, Paris, Desclée de Brouwer.</w:t>
      </w:r>
    </w:p>
    <w:p w14:paraId="7E1DE91D" w14:textId="77777777" w:rsidR="009B6568" w:rsidRDefault="009B6568" w:rsidP="00B82DC8">
      <w:pPr>
        <w:rPr>
          <w:rStyle w:val="Lienhypertexte"/>
        </w:rPr>
      </w:pPr>
    </w:p>
    <w:p w14:paraId="5C8500CF" w14:textId="77777777" w:rsidR="005B3DAE" w:rsidRDefault="0077722D" w:rsidP="009B6568">
      <w:r w:rsidRPr="00CE2B25">
        <w:t>Valdé</w:t>
      </w:r>
      <w:r w:rsidR="005B3DAE" w:rsidRPr="00CE2B25">
        <w:t>s</w:t>
      </w:r>
      <w:r w:rsidR="005B3DAE" w:rsidRPr="00993076">
        <w:t>,</w:t>
      </w:r>
      <w:r w:rsidR="005B3DAE">
        <w:t xml:space="preserve"> Car</w:t>
      </w:r>
      <w:r>
        <w:t xml:space="preserve">los (2012). « Evo Morales – </w:t>
      </w:r>
      <w:r w:rsidRPr="00CE2B25">
        <w:t>Indí</w:t>
      </w:r>
      <w:r w:rsidR="005B3DAE" w:rsidRPr="00CE2B25">
        <w:t>genas</w:t>
      </w:r>
      <w:r w:rsidR="005B3DAE">
        <w:t xml:space="preserve">, un divorcio insospechado », </w:t>
      </w:r>
      <w:r w:rsidR="005B3DAE">
        <w:rPr>
          <w:i/>
        </w:rPr>
        <w:t>Associated Press</w:t>
      </w:r>
      <w:r w:rsidR="005B3DAE">
        <w:t>, 14 février 2012.</w:t>
      </w:r>
    </w:p>
    <w:p w14:paraId="757CE807" w14:textId="77777777" w:rsidR="005B3DAE" w:rsidRPr="005B3DAE" w:rsidRDefault="005B3DAE" w:rsidP="009B6568"/>
    <w:p w14:paraId="53DE44C9" w14:textId="77777777" w:rsidR="009B6568" w:rsidRPr="0021408C" w:rsidRDefault="009B6568" w:rsidP="009B6568">
      <w:r>
        <w:t xml:space="preserve">Venezuela (1999). </w:t>
      </w:r>
      <w:r w:rsidR="0077722D" w:rsidRPr="00CE2B25">
        <w:rPr>
          <w:i/>
        </w:rPr>
        <w:t>Constitución</w:t>
      </w:r>
      <w:r w:rsidR="0077722D">
        <w:rPr>
          <w:i/>
        </w:rPr>
        <w:t xml:space="preserve"> de la Repú</w:t>
      </w:r>
      <w:r>
        <w:rPr>
          <w:i/>
        </w:rPr>
        <w:t>blica bolivariana de Venezuela</w:t>
      </w:r>
      <w:r>
        <w:t xml:space="preserve">, Caracas, Gouvernement du Venezuela, </w:t>
      </w:r>
      <w:r>
        <w:rPr>
          <w:rFonts w:ascii="Times New Roman" w:hAnsi="Times New Roman" w:cs="Times New Roman"/>
          <w:lang w:val="fr-FR"/>
        </w:rPr>
        <w:t>Gaceta Oficial Extraordinaria N° 36.860 de fecha 30 de diciembre de 1.999</w:t>
      </w:r>
      <w:r>
        <w:t>.</w:t>
      </w:r>
    </w:p>
    <w:p w14:paraId="1101B0C2" w14:textId="77777777" w:rsidR="00B2649D" w:rsidRDefault="00B2649D" w:rsidP="00B82DC8"/>
    <w:p w14:paraId="08E6BEDF" w14:textId="77777777" w:rsidR="00B82DC8" w:rsidRDefault="00B2649D" w:rsidP="006B64A9">
      <w:r>
        <w:lastRenderedPageBreak/>
        <w:t xml:space="preserve">Wallace, Arturo </w:t>
      </w:r>
      <w:r w:rsidR="0077722D">
        <w:t xml:space="preserve">(2014). « Gustavo Petro : </w:t>
      </w:r>
      <w:r w:rsidR="0077722D" w:rsidRPr="00CE2B25">
        <w:t>Todavía</w:t>
      </w:r>
      <w:r w:rsidR="0077722D">
        <w:t xml:space="preserve"> puedo regresar a </w:t>
      </w:r>
      <w:r w:rsidR="0077722D" w:rsidRPr="00CE2B25">
        <w:t xml:space="preserve">la alcadía </w:t>
      </w:r>
      <w:r w:rsidR="0077722D" w:rsidRPr="0077722D">
        <w:t xml:space="preserve">de </w:t>
      </w:r>
      <w:r w:rsidR="0077722D" w:rsidRPr="00CE2B25">
        <w:t>Bogotá</w:t>
      </w:r>
      <w:r>
        <w:t xml:space="preserve"> », </w:t>
      </w:r>
      <w:r>
        <w:rPr>
          <w:i/>
        </w:rPr>
        <w:t>BBC Mundo</w:t>
      </w:r>
      <w:r>
        <w:t xml:space="preserve">, 25 mars 2014. </w:t>
      </w:r>
    </w:p>
    <w:p w14:paraId="173533ED" w14:textId="77777777" w:rsidR="00B3540D" w:rsidRDefault="00B3540D" w:rsidP="006B64A9"/>
    <w:p w14:paraId="6F15C670" w14:textId="77777777" w:rsidR="00B3540D" w:rsidRPr="007739B7" w:rsidRDefault="00B3540D" w:rsidP="00B3540D">
      <w:r w:rsidRPr="00A8299A">
        <w:t xml:space="preserve">Wallerstein, Immanuel (2010). « El Caso Brasil », </w:t>
      </w:r>
      <w:r w:rsidRPr="00A8299A">
        <w:rPr>
          <w:i/>
        </w:rPr>
        <w:t>Rebeli</w:t>
      </w:r>
      <w:r w:rsidR="005F7A4C" w:rsidRPr="00A8299A">
        <w:rPr>
          <w:i/>
        </w:rPr>
        <w:t>ó</w:t>
      </w:r>
      <w:r w:rsidRPr="00A8299A">
        <w:rPr>
          <w:i/>
        </w:rPr>
        <w:t>n</w:t>
      </w:r>
      <w:r w:rsidRPr="00A8299A">
        <w:t>, 22 mars 2010.</w:t>
      </w:r>
      <w:r>
        <w:t xml:space="preserve"> </w:t>
      </w:r>
    </w:p>
    <w:p w14:paraId="316AB17F" w14:textId="77777777" w:rsidR="0029015D" w:rsidRDefault="0029015D" w:rsidP="00604B22"/>
    <w:p w14:paraId="652823E2" w14:textId="77777777" w:rsidR="0029015D" w:rsidRDefault="00E50CD4" w:rsidP="0029015D">
      <w:pPr>
        <w:tabs>
          <w:tab w:val="left" w:pos="709"/>
        </w:tabs>
      </w:pPr>
      <w:r>
        <w:t xml:space="preserve">Zibechi, </w:t>
      </w:r>
      <w:r w:rsidRPr="00CE2B25">
        <w:t>Raú</w:t>
      </w:r>
      <w:r w:rsidR="0029015D" w:rsidRPr="00CE2B25">
        <w:t>l</w:t>
      </w:r>
      <w:r w:rsidR="0029015D">
        <w:t xml:space="preserve"> (2006). « El deseado empate técnico », </w:t>
      </w:r>
      <w:r w:rsidR="0029015D">
        <w:rPr>
          <w:i/>
        </w:rPr>
        <w:t>La Jornada</w:t>
      </w:r>
      <w:r w:rsidR="0029015D">
        <w:t xml:space="preserve">, 11 juillet 2006. </w:t>
      </w:r>
    </w:p>
    <w:p w14:paraId="4FF591A2" w14:textId="77777777" w:rsidR="00B55D75" w:rsidRDefault="00B55D75" w:rsidP="00604B22"/>
    <w:p w14:paraId="1AE0C959" w14:textId="77777777" w:rsidR="00B55D75" w:rsidRDefault="00B55D75" w:rsidP="00604B22">
      <w:r>
        <w:t xml:space="preserve">Zibechi, </w:t>
      </w:r>
      <w:r w:rsidR="00E50CD4" w:rsidRPr="00CE2B25">
        <w:t>Raúl</w:t>
      </w:r>
      <w:r>
        <w:t xml:space="preserve"> (2010). « Social democracia y progresismo », </w:t>
      </w:r>
      <w:r>
        <w:rPr>
          <w:i/>
        </w:rPr>
        <w:t>La Jornada</w:t>
      </w:r>
      <w:r>
        <w:t>, 26 mars 2010. [YV, IV :312-313].</w:t>
      </w:r>
    </w:p>
    <w:p w14:paraId="3C991879" w14:textId="77777777" w:rsidR="00B55D75" w:rsidRPr="00B55D75" w:rsidRDefault="00B55D75" w:rsidP="00604B22"/>
    <w:p w14:paraId="584CBC30" w14:textId="77777777" w:rsidR="00785311" w:rsidRDefault="00785311" w:rsidP="00604B22">
      <w:r>
        <w:t xml:space="preserve">Zibechi, </w:t>
      </w:r>
      <w:r w:rsidR="00E50CD4" w:rsidRPr="003050B3">
        <w:t>Raúl</w:t>
      </w:r>
      <w:r>
        <w:t xml:space="preserve"> (2011</w:t>
      </w:r>
      <w:r w:rsidR="0083372B">
        <w:t>a</w:t>
      </w:r>
      <w:r>
        <w:t>). « </w:t>
      </w:r>
      <w:r w:rsidR="0083372B">
        <w:t>L</w:t>
      </w:r>
      <w:r w:rsidR="0077722D">
        <w:t xml:space="preserve">as revoluciones de la gente </w:t>
      </w:r>
      <w:r w:rsidR="0077722D" w:rsidRPr="003050B3">
        <w:t>comú</w:t>
      </w:r>
      <w:r w:rsidR="0083372B" w:rsidRPr="003050B3">
        <w:t>n</w:t>
      </w:r>
      <w:r w:rsidR="0083372B">
        <w:t xml:space="preserve"> », </w:t>
      </w:r>
      <w:r>
        <w:t xml:space="preserve"> </w:t>
      </w:r>
      <w:r w:rsidRPr="00785311">
        <w:rPr>
          <w:i/>
        </w:rPr>
        <w:t>La Jornada</w:t>
      </w:r>
      <w:r w:rsidR="0083372B">
        <w:t>, 3 juin</w:t>
      </w:r>
      <w:r>
        <w:t xml:space="preserve"> 2011. </w:t>
      </w:r>
    </w:p>
    <w:p w14:paraId="12DC5C4D" w14:textId="77777777" w:rsidR="0083372B" w:rsidRDefault="0083372B" w:rsidP="00604B22"/>
    <w:p w14:paraId="2ACDA7CD" w14:textId="77777777" w:rsidR="0083372B" w:rsidRPr="0083372B" w:rsidRDefault="0083372B" w:rsidP="00604B22">
      <w:r>
        <w:t xml:space="preserve">Zibechi, </w:t>
      </w:r>
      <w:r w:rsidR="00E50CD4" w:rsidRPr="003050B3">
        <w:t>Raúl</w:t>
      </w:r>
      <w:r>
        <w:t xml:space="preserve"> (2011b). « Las izquierdas en el ojo de la tormenta », </w:t>
      </w:r>
      <w:r>
        <w:rPr>
          <w:i/>
        </w:rPr>
        <w:t>La Jornada</w:t>
      </w:r>
      <w:r>
        <w:t xml:space="preserve">, 18 novembre 2011. </w:t>
      </w:r>
    </w:p>
    <w:p w14:paraId="2EAB354C" w14:textId="77777777" w:rsidR="00927F2B" w:rsidRDefault="00927F2B" w:rsidP="00604B22"/>
    <w:p w14:paraId="79286592" w14:textId="77777777" w:rsidR="00C9624D" w:rsidRDefault="00C9624D" w:rsidP="00604B22">
      <w:r>
        <w:t xml:space="preserve">Zibechi, </w:t>
      </w:r>
      <w:r w:rsidR="00E50CD4" w:rsidRPr="00CE2B25">
        <w:t>Raúl</w:t>
      </w:r>
      <w:r>
        <w:t xml:space="preserve"> (2013). « Extrac</w:t>
      </w:r>
      <w:r w:rsidR="0077722D">
        <w:t xml:space="preserve">tivismo, movimientos y </w:t>
      </w:r>
      <w:r w:rsidR="0077722D" w:rsidRPr="00CE2B25">
        <w:t>Revolució</w:t>
      </w:r>
      <w:r w:rsidRPr="00CE2B25">
        <w:t>n</w:t>
      </w:r>
      <w:r>
        <w:t xml:space="preserve"> », </w:t>
      </w:r>
      <w:r>
        <w:rPr>
          <w:i/>
        </w:rPr>
        <w:t>La Jornada</w:t>
      </w:r>
      <w:r>
        <w:t>, 26 juillet 2013.</w:t>
      </w:r>
    </w:p>
    <w:p w14:paraId="1DCD7E63" w14:textId="77777777" w:rsidR="00C9624D" w:rsidRPr="00C9624D" w:rsidRDefault="00C9624D" w:rsidP="00604B22"/>
    <w:p w14:paraId="6F76689D" w14:textId="77777777" w:rsidR="00F97DDB" w:rsidRDefault="00F97DDB" w:rsidP="00604B22">
      <w:r>
        <w:t xml:space="preserve">Zibechi, </w:t>
      </w:r>
      <w:r w:rsidR="00E50CD4" w:rsidRPr="00CE2B25">
        <w:t>Raúl</w:t>
      </w:r>
      <w:r>
        <w:t xml:space="preserve"> (2014a). « Los nuevos – nuevos movientos sociales », </w:t>
      </w:r>
      <w:r>
        <w:rPr>
          <w:i/>
        </w:rPr>
        <w:t>La Jornada</w:t>
      </w:r>
      <w:r>
        <w:t>, 10 janvier 2014.</w:t>
      </w:r>
      <w:r w:rsidR="00051250" w:rsidRPr="00051250">
        <w:t xml:space="preserve"> </w:t>
      </w:r>
    </w:p>
    <w:p w14:paraId="2C984845" w14:textId="77777777" w:rsidR="00051250" w:rsidRPr="00F97DDB" w:rsidRDefault="00051250" w:rsidP="00604B22"/>
    <w:p w14:paraId="69195502" w14:textId="77777777" w:rsidR="00927F2B" w:rsidRDefault="00927F2B" w:rsidP="00604B22">
      <w:r>
        <w:t xml:space="preserve">Zibechi, </w:t>
      </w:r>
      <w:r w:rsidR="00E50CD4" w:rsidRPr="00CE2B25">
        <w:t>Raúl</w:t>
      </w:r>
      <w:r w:rsidR="00E50CD4">
        <w:t xml:space="preserve"> </w:t>
      </w:r>
      <w:r>
        <w:t>(2014</w:t>
      </w:r>
      <w:r w:rsidR="00F74F55">
        <w:t>b</w:t>
      </w:r>
      <w:r>
        <w:t>). « Recuperar el debate estrat</w:t>
      </w:r>
      <w:r w:rsidR="00E50CD4">
        <w:t>é</w:t>
      </w:r>
      <w:r>
        <w:t xml:space="preserve">gico », </w:t>
      </w:r>
      <w:r>
        <w:rPr>
          <w:i/>
        </w:rPr>
        <w:t>La Jornada</w:t>
      </w:r>
      <w:r>
        <w:t xml:space="preserve">, 6 mars 2014. </w:t>
      </w:r>
    </w:p>
    <w:p w14:paraId="0BDF14AE" w14:textId="77777777" w:rsidR="00836A6F" w:rsidRDefault="00836A6F" w:rsidP="00604B22"/>
    <w:p w14:paraId="082920B8" w14:textId="77777777" w:rsidR="00836A6F" w:rsidRDefault="00836A6F" w:rsidP="00836A6F">
      <w:pPr>
        <w:rPr>
          <w:rFonts w:eastAsia="Times New Roman" w:cs="Times New Roman"/>
        </w:rPr>
      </w:pPr>
      <w:r>
        <w:t xml:space="preserve">Zibechi, </w:t>
      </w:r>
      <w:r w:rsidR="00E50CD4" w:rsidRPr="00CE2B25">
        <w:t>Raúl</w:t>
      </w:r>
      <w:r>
        <w:t xml:space="preserve"> (2014c). « </w:t>
      </w:r>
      <w:r>
        <w:rPr>
          <w:rFonts w:eastAsia="Times New Roman" w:cs="Times New Roman"/>
        </w:rPr>
        <w:t xml:space="preserve">Defendernos colectiva y comunitariamente », </w:t>
      </w:r>
      <w:r>
        <w:rPr>
          <w:rFonts w:eastAsia="Times New Roman" w:cs="Times New Roman"/>
          <w:i/>
        </w:rPr>
        <w:t>La Jornada</w:t>
      </w:r>
      <w:r>
        <w:rPr>
          <w:rFonts w:eastAsia="Times New Roman" w:cs="Times New Roman"/>
        </w:rPr>
        <w:t>, 18 avril 2014.</w:t>
      </w:r>
    </w:p>
    <w:p w14:paraId="2CD8ED97" w14:textId="77777777" w:rsidR="00247C2D" w:rsidRDefault="00247C2D" w:rsidP="00836A6F">
      <w:pPr>
        <w:rPr>
          <w:rFonts w:eastAsia="Times New Roman" w:cs="Times New Roman"/>
        </w:rPr>
      </w:pPr>
    </w:p>
    <w:p w14:paraId="191F7CEB" w14:textId="77777777" w:rsidR="00247C2D" w:rsidRPr="00836A6F" w:rsidRDefault="00247C2D" w:rsidP="00836A6F">
      <w:pPr>
        <w:rPr>
          <w:rFonts w:eastAsia="Times New Roman" w:cs="Times New Roman"/>
        </w:rPr>
      </w:pPr>
      <w:r>
        <w:t xml:space="preserve">Zibechi, </w:t>
      </w:r>
      <w:r w:rsidRPr="00CE2B25">
        <w:t>Raúl</w:t>
      </w:r>
      <w:r>
        <w:t xml:space="preserve"> (2014d). « El aguacero empieza con una sola gota », </w:t>
      </w:r>
      <w:r w:rsidRPr="00247C2D">
        <w:rPr>
          <w:i/>
        </w:rPr>
        <w:t>La Jornada</w:t>
      </w:r>
      <w:r>
        <w:t>, 28 novembre 2014.</w:t>
      </w:r>
    </w:p>
    <w:p w14:paraId="68080CA6" w14:textId="77777777" w:rsidR="00836A6F" w:rsidRDefault="00836A6F" w:rsidP="00836A6F">
      <w:pPr>
        <w:rPr>
          <w:rFonts w:eastAsia="Times New Roman" w:cs="Times New Roman"/>
        </w:rPr>
      </w:pPr>
    </w:p>
    <w:p w14:paraId="17DA2EDF" w14:textId="77777777" w:rsidR="00836A6F" w:rsidRDefault="00836A6F" w:rsidP="00836A6F"/>
    <w:p w14:paraId="2844F070" w14:textId="77777777" w:rsidR="00836A6F" w:rsidRPr="00927F2B" w:rsidRDefault="00836A6F" w:rsidP="00604B22"/>
    <w:sectPr w:rsidR="00836A6F" w:rsidRPr="00927F2B" w:rsidSect="00E867D3">
      <w:headerReference w:type="even" r:id="rId24"/>
      <w:headerReference w:type="default" r:id="rId25"/>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5A87C" w14:textId="77777777" w:rsidR="00113C0A" w:rsidRDefault="00113C0A" w:rsidP="00E867D3">
      <w:r>
        <w:separator/>
      </w:r>
    </w:p>
  </w:endnote>
  <w:endnote w:type="continuationSeparator" w:id="0">
    <w:p w14:paraId="170D21EC" w14:textId="77777777" w:rsidR="00113C0A" w:rsidRDefault="00113C0A" w:rsidP="00E8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çÿÔˇø‚k∆">
    <w:altName w:val="Cambria"/>
    <w:panose1 w:val="00000000000000000000"/>
    <w:charset w:val="4D"/>
    <w:family w:val="auto"/>
    <w:notTrueType/>
    <w:pitch w:val="default"/>
    <w:sig w:usb0="00000003" w:usb1="00000000" w:usb2="00000000" w:usb3="00000000" w:csb0="00000001" w:csb1="00000000"/>
  </w:font>
  <w:font w:name="ÄÑÿÔˇø‚k∆">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áÿÔˇø‚k∆">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8C0D7" w14:textId="77777777" w:rsidR="00113C0A" w:rsidRDefault="00113C0A" w:rsidP="00E867D3">
      <w:r>
        <w:separator/>
      </w:r>
    </w:p>
  </w:footnote>
  <w:footnote w:type="continuationSeparator" w:id="0">
    <w:p w14:paraId="32BEE5D3" w14:textId="77777777" w:rsidR="00113C0A" w:rsidRDefault="00113C0A" w:rsidP="00E867D3">
      <w:r>
        <w:continuationSeparator/>
      </w:r>
    </w:p>
  </w:footnote>
  <w:footnote w:id="1">
    <w:p w14:paraId="0B775BE9" w14:textId="77777777" w:rsidR="00113C0A" w:rsidRPr="00415169" w:rsidRDefault="00113C0A">
      <w:pPr>
        <w:pStyle w:val="Notedebasdepage"/>
        <w:rPr>
          <w:sz w:val="20"/>
          <w:szCs w:val="20"/>
          <w:lang w:val="fr-FR"/>
        </w:rPr>
      </w:pPr>
      <w:r>
        <w:rPr>
          <w:rStyle w:val="Marquenotebasdepage"/>
        </w:rPr>
        <w:footnoteRef/>
      </w:r>
      <w:r>
        <w:t xml:space="preserve"> </w:t>
      </w:r>
      <w:r w:rsidRPr="005205F2">
        <w:rPr>
          <w:sz w:val="20"/>
          <w:szCs w:val="20"/>
          <w:lang w:val="fr-FR"/>
        </w:rPr>
        <w:t>L</w:t>
      </w:r>
      <w:r>
        <w:rPr>
          <w:sz w:val="20"/>
          <w:szCs w:val="20"/>
          <w:lang w:val="fr-FR"/>
        </w:rPr>
        <w:t>a rédaction de cette note de recherche a été stimulée par notre participation comme conférencier invité à deux colloques qui ont eu lieu en France sur la thématique de la co-construction des politiques publiques et qui ont mobilisé à la fois des chercheurs et des acteurs dans le domaine de l’ESS. Nous faisons référence d’une part aux 14</w:t>
      </w:r>
      <w:r w:rsidRPr="00407A85">
        <w:rPr>
          <w:sz w:val="20"/>
          <w:szCs w:val="20"/>
          <w:vertAlign w:val="superscript"/>
          <w:lang w:val="fr-FR"/>
        </w:rPr>
        <w:t>e</w:t>
      </w:r>
      <w:r>
        <w:rPr>
          <w:sz w:val="20"/>
          <w:szCs w:val="20"/>
          <w:lang w:val="fr-FR"/>
        </w:rPr>
        <w:t xml:space="preserve"> Rencontres du Réseau interuniversitaire de l’économie sociale et solidaire (RIUESS) tenues à Lille du 21 au 23 mai 2014 et, d’autre part, aux 5</w:t>
      </w:r>
      <w:r w:rsidRPr="00407A85">
        <w:rPr>
          <w:sz w:val="20"/>
          <w:szCs w:val="20"/>
          <w:vertAlign w:val="superscript"/>
          <w:lang w:val="fr-FR"/>
        </w:rPr>
        <w:t>e</w:t>
      </w:r>
      <w:r>
        <w:rPr>
          <w:sz w:val="20"/>
          <w:szCs w:val="20"/>
          <w:lang w:val="fr-FR"/>
        </w:rPr>
        <w:t xml:space="preserve"> Rencontres de l’ESS en Vaucluse tenues à Avignon le 20 octobre 2014. </w:t>
      </w:r>
    </w:p>
  </w:footnote>
  <w:footnote w:id="2">
    <w:p w14:paraId="7D0DC013" w14:textId="77777777" w:rsidR="00113C0A" w:rsidRPr="00E5399D" w:rsidRDefault="00113C0A">
      <w:pPr>
        <w:pStyle w:val="Notedebasdepage"/>
        <w:rPr>
          <w:lang w:val="fr-FR"/>
        </w:rPr>
      </w:pPr>
      <w:r>
        <w:rPr>
          <w:rStyle w:val="Marquenotebasdepage"/>
        </w:rPr>
        <w:footnoteRef/>
      </w:r>
      <w:r>
        <w:t xml:space="preserve"> </w:t>
      </w:r>
      <w:r w:rsidRPr="007D1C0A">
        <w:rPr>
          <w:sz w:val="20"/>
          <w:szCs w:val="20"/>
          <w:lang w:val="fr-FR"/>
        </w:rPr>
        <w:t>En</w:t>
      </w:r>
      <w:r>
        <w:rPr>
          <w:sz w:val="20"/>
          <w:szCs w:val="20"/>
          <w:lang w:val="fr-FR"/>
        </w:rPr>
        <w:t xml:space="preserve"> fait, la commande faite par les collègues du CRISES (Centre de recherche sur les innovations sociales), en 2006, consistait à rédiger un chapitre sur l’économie sociale et la co-construction des politiques publiques dans le cadre de la préparation d’un livre sur l’économie sociale. Ce livre, coordonné par Marie J. Bouchard, fut publié en français en 2012 et en anglais en 2013 (Bouchard, 2012 et 2013). </w:t>
      </w:r>
    </w:p>
  </w:footnote>
  <w:footnote w:id="3">
    <w:p w14:paraId="138E8F38" w14:textId="77777777" w:rsidR="00113C0A" w:rsidRPr="00E57FF6" w:rsidRDefault="00113C0A">
      <w:pPr>
        <w:pStyle w:val="Notedebasdepage"/>
        <w:rPr>
          <w:lang w:val="fr-FR"/>
        </w:rPr>
      </w:pPr>
      <w:r>
        <w:rPr>
          <w:rStyle w:val="Marquenotebasdepage"/>
        </w:rPr>
        <w:footnoteRef/>
      </w:r>
      <w:r>
        <w:t xml:space="preserve"> </w:t>
      </w:r>
      <w:r w:rsidRPr="00E57FF6">
        <w:rPr>
          <w:sz w:val="20"/>
          <w:szCs w:val="20"/>
          <w:lang w:val="fr-FR"/>
        </w:rPr>
        <w:t>Parm</w:t>
      </w:r>
      <w:r>
        <w:rPr>
          <w:sz w:val="20"/>
          <w:szCs w:val="20"/>
          <w:lang w:val="fr-FR"/>
        </w:rPr>
        <w:t xml:space="preserve">i les trois dernières sections, de nature plus empirique, celle sur l’Amérique latine et les Caraïbes (la section IV) sera plus neuve et approfondie que les sections II (sur le Canada) et III (sur le Québec) dans lesquelles nous nous efforçons de synthétiser des résultats de recherches et d’écrits antérieurs. Toutefois, attendu les limites des sources documentaires disponibles, la question de la participation des acteurs de l’ESS à la co-construction des politiques sera davantage abordée dans les sections II et III que dans la section IV. </w:t>
      </w:r>
      <w:r>
        <w:rPr>
          <w:lang w:val="fr-FR"/>
        </w:rPr>
        <w:t xml:space="preserve"> </w:t>
      </w:r>
    </w:p>
  </w:footnote>
  <w:footnote w:id="4">
    <w:p w14:paraId="5F1903A0" w14:textId="77777777" w:rsidR="00113C0A" w:rsidRPr="006F37A4" w:rsidRDefault="00113C0A">
      <w:pPr>
        <w:pStyle w:val="Notedebasdepage"/>
        <w:rPr>
          <w:sz w:val="20"/>
          <w:szCs w:val="20"/>
          <w:lang w:val="fr-FR"/>
        </w:rPr>
      </w:pPr>
      <w:r w:rsidRPr="006F37A4">
        <w:rPr>
          <w:rStyle w:val="Marquenotebasdepage"/>
        </w:rPr>
        <w:footnoteRef/>
      </w:r>
      <w:r w:rsidRPr="006F37A4">
        <w:t xml:space="preserve"> </w:t>
      </w:r>
      <w:r w:rsidRPr="006F37A4">
        <w:rPr>
          <w:sz w:val="20"/>
          <w:szCs w:val="20"/>
          <w:lang w:val="fr-FR"/>
        </w:rPr>
        <w:t xml:space="preserve">Nous reprenons ici des formulations de Vaillancourt et Aubry (2014). Voir le site </w:t>
      </w:r>
      <w:hyperlink r:id="rId1" w:history="1">
        <w:r w:rsidRPr="006F37A4">
          <w:rPr>
            <w:rStyle w:val="Lienhypertexte"/>
            <w:rFonts w:eastAsia="Times New Roman" w:cs="Times New Roman"/>
          </w:rPr>
          <w:t>www.</w:t>
        </w:r>
        <w:r w:rsidRPr="006F37A4">
          <w:rPr>
            <w:rStyle w:val="Lienhypertexte"/>
            <w:rFonts w:eastAsia="Times New Roman" w:cs="Times New Roman"/>
            <w:iCs/>
          </w:rPr>
          <w:t>ccd</w:t>
        </w:r>
        <w:r w:rsidRPr="006F37A4">
          <w:rPr>
            <w:rStyle w:val="Lienhypertexte"/>
            <w:rFonts w:eastAsia="Times New Roman" w:cs="Times New Roman"/>
          </w:rPr>
          <w:t>online.ca</w:t>
        </w:r>
      </w:hyperlink>
      <w:r w:rsidRPr="006F37A4">
        <w:t xml:space="preserve"> .</w:t>
      </w:r>
    </w:p>
  </w:footnote>
  <w:footnote w:id="5">
    <w:p w14:paraId="5DACF860" w14:textId="77777777" w:rsidR="00113C0A" w:rsidRPr="00DA2E11" w:rsidRDefault="00113C0A">
      <w:pPr>
        <w:pStyle w:val="Notedebasdepage"/>
        <w:rPr>
          <w:lang w:val="fr-FR"/>
        </w:rPr>
      </w:pPr>
      <w:r w:rsidRPr="006F37A4">
        <w:rPr>
          <w:rStyle w:val="Marquenotebasdepage"/>
        </w:rPr>
        <w:footnoteRef/>
      </w:r>
      <w:r w:rsidRPr="006F37A4">
        <w:t xml:space="preserve"> </w:t>
      </w:r>
      <w:r w:rsidRPr="006F37A4">
        <w:rPr>
          <w:sz w:val="20"/>
          <w:szCs w:val="20"/>
          <w:lang w:val="fr-FR"/>
        </w:rPr>
        <w:t>Le concept d’ESS est défini</w:t>
      </w:r>
      <w:r>
        <w:rPr>
          <w:sz w:val="20"/>
          <w:szCs w:val="20"/>
          <w:lang w:val="fr-FR"/>
        </w:rPr>
        <w:t xml:space="preserve"> ici de manière large et inclusive, en suivant la tradition du Laboratoire de recherche sur les pratiques et les politiques sociales (LAREPPS) depuis 20 ans. Cela permet d’inclure non seulement des entreprises sociales qui ont des activités marchandes, mais aussi des associations qui, souvent avec le soutien des pouvoirs publics, produisent des biens et des services qui sont ni vendus sur le marché, ni tarifés. </w:t>
      </w:r>
      <w:r>
        <w:rPr>
          <w:lang w:val="fr-FR"/>
        </w:rPr>
        <w:t xml:space="preserve"> </w:t>
      </w:r>
      <w:r w:rsidRPr="00DA2E11">
        <w:rPr>
          <w:lang w:val="fr-FR"/>
        </w:rPr>
        <w:t xml:space="preserve"> </w:t>
      </w:r>
    </w:p>
  </w:footnote>
  <w:footnote w:id="6">
    <w:p w14:paraId="4FC16041" w14:textId="77777777" w:rsidR="00113C0A" w:rsidRPr="008B13FF" w:rsidRDefault="00113C0A" w:rsidP="00C434FF">
      <w:pPr>
        <w:rPr>
          <w:lang w:val="fr-FR"/>
        </w:rPr>
      </w:pPr>
      <w:r>
        <w:rPr>
          <w:rStyle w:val="Marquenotebasdepage"/>
        </w:rPr>
        <w:footnoteRef/>
      </w:r>
      <w:r>
        <w:t xml:space="preserve"> </w:t>
      </w:r>
      <w:r w:rsidRPr="000C1034">
        <w:rPr>
          <w:sz w:val="20"/>
          <w:szCs w:val="20"/>
        </w:rPr>
        <w:t xml:space="preserve">En participant au livre de Pestoff, Brandsen et </w:t>
      </w:r>
      <w:r w:rsidRPr="00DB2ED1">
        <w:rPr>
          <w:sz w:val="20"/>
          <w:szCs w:val="20"/>
        </w:rPr>
        <w:t>Verschuere (2012)</w:t>
      </w:r>
      <w:r w:rsidRPr="000C1034">
        <w:rPr>
          <w:sz w:val="20"/>
          <w:szCs w:val="20"/>
        </w:rPr>
        <w:t xml:space="preserve"> sur la co-production (</w:t>
      </w:r>
      <w:r w:rsidRPr="000C1034">
        <w:rPr>
          <w:i/>
          <w:sz w:val="20"/>
          <w:szCs w:val="20"/>
        </w:rPr>
        <w:t>New Public Governance, the Third Sector and Co-Production</w:t>
      </w:r>
      <w:r w:rsidRPr="000C1034">
        <w:rPr>
          <w:sz w:val="20"/>
          <w:szCs w:val="20"/>
        </w:rPr>
        <w:t>) et en rédigeant</w:t>
      </w:r>
      <w:r>
        <w:rPr>
          <w:sz w:val="20"/>
          <w:szCs w:val="20"/>
        </w:rPr>
        <w:t xml:space="preserve"> à la demande des éditeurs</w:t>
      </w:r>
      <w:r w:rsidRPr="000C1034">
        <w:rPr>
          <w:sz w:val="20"/>
          <w:szCs w:val="20"/>
        </w:rPr>
        <w:t xml:space="preserve"> un chapitre consacré au concept de co-construction (V</w:t>
      </w:r>
      <w:r>
        <w:rPr>
          <w:sz w:val="20"/>
          <w:szCs w:val="20"/>
        </w:rPr>
        <w:t>aillancourt, 2012 ou 2014), nous avons</w:t>
      </w:r>
      <w:r w:rsidRPr="000C1034">
        <w:rPr>
          <w:sz w:val="20"/>
          <w:szCs w:val="20"/>
        </w:rPr>
        <w:t xml:space="preserve"> tenté d’introduire un débat avec les trois chercheurs qui coordonnaient cet ouvrage collectif dans</w:t>
      </w:r>
      <w:r>
        <w:rPr>
          <w:sz w:val="20"/>
          <w:szCs w:val="20"/>
        </w:rPr>
        <w:t xml:space="preserve"> le but de les sensibiliser à notre</w:t>
      </w:r>
      <w:r w:rsidRPr="000C1034">
        <w:rPr>
          <w:sz w:val="20"/>
          <w:szCs w:val="20"/>
        </w:rPr>
        <w:t xml:space="preserve"> distinction entre co-construction et co-production. Mais, </w:t>
      </w:r>
      <w:r>
        <w:rPr>
          <w:sz w:val="20"/>
          <w:szCs w:val="20"/>
        </w:rPr>
        <w:t>nous ne sommes</w:t>
      </w:r>
      <w:r w:rsidRPr="000C1034">
        <w:rPr>
          <w:sz w:val="20"/>
          <w:szCs w:val="20"/>
        </w:rPr>
        <w:t xml:space="preserve"> pas sûr</w:t>
      </w:r>
      <w:r>
        <w:t xml:space="preserve"> </w:t>
      </w:r>
      <w:r w:rsidRPr="00F83206">
        <w:rPr>
          <w:sz w:val="20"/>
          <w:szCs w:val="20"/>
        </w:rPr>
        <w:t>d’avoir réussi.  La préparation du livre était rendue dans sa phase finale. Les enlignements théoriques des chapitres transversaux étaient déjà pris. La</w:t>
      </w:r>
      <w:r>
        <w:t xml:space="preserve"> </w:t>
      </w:r>
      <w:r w:rsidRPr="000C1034">
        <w:rPr>
          <w:sz w:val="20"/>
          <w:szCs w:val="20"/>
        </w:rPr>
        <w:t xml:space="preserve">majorité des auteurs avaient déjà accepté la commande de produire un chapitre en utilisant le concept de co-production comme mot de passe. Quelques chapitres </w:t>
      </w:r>
      <w:r w:rsidRPr="000C1034">
        <w:rPr>
          <w:rFonts w:ascii="Cambria" w:hAnsi="Cambria"/>
          <w:sz w:val="20"/>
          <w:szCs w:val="20"/>
        </w:rPr>
        <w:t>—</w:t>
      </w:r>
      <w:r w:rsidRPr="000C1034">
        <w:rPr>
          <w:sz w:val="20"/>
          <w:szCs w:val="20"/>
        </w:rPr>
        <w:t>tel le chapitre 6 du politologue mexicain John Ackerman</w:t>
      </w:r>
      <w:r>
        <w:rPr>
          <w:sz w:val="20"/>
          <w:szCs w:val="20"/>
        </w:rPr>
        <w:t xml:space="preserve"> (2012)</w:t>
      </w:r>
      <w:r w:rsidRPr="000C1034">
        <w:rPr>
          <w:rFonts w:ascii="Cambria" w:hAnsi="Cambria"/>
          <w:sz w:val="20"/>
          <w:szCs w:val="20"/>
        </w:rPr>
        <w:t>—,</w:t>
      </w:r>
      <w:r w:rsidRPr="000C1034">
        <w:rPr>
          <w:sz w:val="20"/>
          <w:szCs w:val="20"/>
        </w:rPr>
        <w:t xml:space="preserve"> tout en respectant la centralité du concept de co-production, ont démontré de l’intérêt pour les concepts de co-management et de co-governance, en les gérant d’une manière </w:t>
      </w:r>
      <w:r>
        <w:rPr>
          <w:sz w:val="20"/>
          <w:szCs w:val="20"/>
        </w:rPr>
        <w:t>qui les rapproche de notre</w:t>
      </w:r>
      <w:r w:rsidRPr="000C1034">
        <w:rPr>
          <w:sz w:val="20"/>
          <w:szCs w:val="20"/>
        </w:rPr>
        <w:t xml:space="preserve"> concept de co-construction. Néanmoins</w:t>
      </w:r>
      <w:r>
        <w:rPr>
          <w:sz w:val="20"/>
          <w:szCs w:val="20"/>
        </w:rPr>
        <w:t>, dans cet ouvrage collectif, nous demeurons</w:t>
      </w:r>
      <w:r w:rsidRPr="000C1034">
        <w:rPr>
          <w:sz w:val="20"/>
          <w:szCs w:val="20"/>
        </w:rPr>
        <w:t xml:space="preserve"> le seul </w:t>
      </w:r>
      <w:r>
        <w:rPr>
          <w:sz w:val="20"/>
          <w:szCs w:val="20"/>
        </w:rPr>
        <w:t xml:space="preserve">auteur </w:t>
      </w:r>
      <w:r w:rsidRPr="000C1034">
        <w:rPr>
          <w:sz w:val="20"/>
          <w:szCs w:val="20"/>
        </w:rPr>
        <w:t xml:space="preserve">à utiliser le concept de co-construction pour plaider en faveur d’une participation des acteurs de l’ESS et, plus largement, du tiers secteur et de la société civile, </w:t>
      </w:r>
      <w:r w:rsidRPr="006F37A4">
        <w:rPr>
          <w:sz w:val="20"/>
          <w:szCs w:val="20"/>
        </w:rPr>
        <w:t>dans</w:t>
      </w:r>
      <w:r w:rsidRPr="000C1034">
        <w:rPr>
          <w:sz w:val="20"/>
          <w:szCs w:val="20"/>
        </w:rPr>
        <w:t xml:space="preserve"> l’élaboration de politiques publiques novatrices et démocratiques. </w:t>
      </w:r>
    </w:p>
  </w:footnote>
  <w:footnote w:id="7">
    <w:p w14:paraId="48966E3C" w14:textId="77777777" w:rsidR="00113C0A" w:rsidRPr="00DA64C4" w:rsidRDefault="00113C0A">
      <w:pPr>
        <w:pStyle w:val="Notedebasdepage"/>
        <w:rPr>
          <w:sz w:val="20"/>
          <w:szCs w:val="20"/>
          <w:lang w:val="fr-FR"/>
        </w:rPr>
      </w:pPr>
      <w:r>
        <w:rPr>
          <w:rStyle w:val="Marquenotebasdepage"/>
        </w:rPr>
        <w:footnoteRef/>
      </w:r>
      <w:r>
        <w:t xml:space="preserve"> </w:t>
      </w:r>
      <w:r>
        <w:rPr>
          <w:sz w:val="20"/>
          <w:szCs w:val="20"/>
          <w:lang w:val="fr-FR"/>
        </w:rPr>
        <w:t>Une remarque analogue peut être faite si, dans la société politique, la participation se limite à celle des acteurs de l’exécutif et exclut celle des acteurs du législatif.</w:t>
      </w:r>
    </w:p>
  </w:footnote>
  <w:footnote w:id="8">
    <w:p w14:paraId="4E0FDEB8" w14:textId="77777777" w:rsidR="00113C0A" w:rsidRPr="00F17A4F" w:rsidRDefault="00113C0A">
      <w:pPr>
        <w:pStyle w:val="Notedebasdepage"/>
        <w:rPr>
          <w:sz w:val="20"/>
          <w:szCs w:val="20"/>
          <w:lang w:val="fr-FR"/>
        </w:rPr>
      </w:pPr>
      <w:r>
        <w:rPr>
          <w:rStyle w:val="Marquenotebasdepage"/>
        </w:rPr>
        <w:footnoteRef/>
      </w:r>
      <w:r>
        <w:t xml:space="preserve"> </w:t>
      </w:r>
      <w:r w:rsidRPr="00F17A4F">
        <w:rPr>
          <w:sz w:val="20"/>
          <w:szCs w:val="20"/>
        </w:rPr>
        <w:t>É</w:t>
      </w:r>
      <w:r>
        <w:rPr>
          <w:sz w:val="20"/>
          <w:szCs w:val="20"/>
        </w:rPr>
        <w:t xml:space="preserve">videmment, il y a de la place pour de la co-construction aux moments de l’évaluation, du suivi ou de la reddition de comptes, à condition que la participation des acteurs de la société civile ait été prévue dans les modalités de mise en œuvre choisies. </w:t>
      </w:r>
    </w:p>
  </w:footnote>
  <w:footnote w:id="9">
    <w:p w14:paraId="51E01A66" w14:textId="77777777" w:rsidR="00113C0A" w:rsidRPr="00A25284" w:rsidRDefault="00113C0A" w:rsidP="00A25284">
      <w:pPr>
        <w:rPr>
          <w:sz w:val="20"/>
          <w:szCs w:val="20"/>
          <w:lang w:val="fr-FR"/>
        </w:rPr>
      </w:pPr>
      <w:r>
        <w:rPr>
          <w:rStyle w:val="Marquenotebasdepage"/>
        </w:rPr>
        <w:footnoteRef/>
      </w:r>
      <w:r w:rsidRPr="00A25284">
        <w:rPr>
          <w:sz w:val="20"/>
          <w:szCs w:val="20"/>
          <w:lang w:val="fr-FR"/>
        </w:rPr>
        <w:t xml:space="preserve"> Pour éviter tout malentendu, il faut rappeler, dès le point de départ, que la</w:t>
      </w:r>
      <w:r>
        <w:rPr>
          <w:sz w:val="20"/>
          <w:szCs w:val="20"/>
          <w:lang w:val="fr-FR"/>
        </w:rPr>
        <w:t xml:space="preserve"> participation des acteurs de la société civile à la</w:t>
      </w:r>
      <w:r w:rsidRPr="00A25284">
        <w:rPr>
          <w:sz w:val="20"/>
          <w:szCs w:val="20"/>
          <w:lang w:val="fr-FR"/>
        </w:rPr>
        <w:t xml:space="preserve"> co-construction</w:t>
      </w:r>
      <w:r>
        <w:rPr>
          <w:sz w:val="20"/>
          <w:szCs w:val="20"/>
          <w:lang w:val="fr-FR"/>
        </w:rPr>
        <w:t xml:space="preserve"> démocratique des politiques</w:t>
      </w:r>
      <w:r w:rsidRPr="00A25284">
        <w:rPr>
          <w:sz w:val="20"/>
          <w:szCs w:val="20"/>
          <w:lang w:val="fr-FR"/>
        </w:rPr>
        <w:t xml:space="preserve"> doit se conjuguer avec le fait que les personnes élues </w:t>
      </w:r>
      <w:r w:rsidRPr="00A20179">
        <w:rPr>
          <w:sz w:val="20"/>
          <w:szCs w:val="20"/>
          <w:lang w:val="fr-FR"/>
        </w:rPr>
        <w:t>via</w:t>
      </w:r>
      <w:r w:rsidRPr="00A25284">
        <w:rPr>
          <w:sz w:val="20"/>
          <w:szCs w:val="20"/>
          <w:lang w:val="fr-FR"/>
        </w:rPr>
        <w:t xml:space="preserve"> la démocratie représentative </w:t>
      </w:r>
      <w:r w:rsidRPr="00A25284">
        <w:rPr>
          <w:rFonts w:ascii="Cambria" w:hAnsi="Cambria"/>
          <w:sz w:val="20"/>
          <w:szCs w:val="20"/>
          <w:lang w:val="fr-FR"/>
        </w:rPr>
        <w:t>—</w:t>
      </w:r>
      <w:r w:rsidRPr="00A25284">
        <w:rPr>
          <w:sz w:val="20"/>
          <w:szCs w:val="20"/>
          <w:lang w:val="fr-FR"/>
        </w:rPr>
        <w:t>notamment celles qui détiennent le pouvoir exécutif</w:t>
      </w:r>
      <w:r w:rsidRPr="00A25284">
        <w:rPr>
          <w:rFonts w:ascii="Cambria" w:hAnsi="Cambria"/>
          <w:sz w:val="20"/>
          <w:szCs w:val="20"/>
          <w:lang w:val="fr-FR"/>
        </w:rPr>
        <w:t>—</w:t>
      </w:r>
      <w:r w:rsidRPr="00A25284">
        <w:rPr>
          <w:sz w:val="20"/>
          <w:szCs w:val="20"/>
          <w:lang w:val="fr-FR"/>
        </w:rPr>
        <w:t xml:space="preserve"> à tous les niveaux,  conservent en dernière instance la responsabilité de trancher et de prendre les décisions en matière de politique publique</w:t>
      </w:r>
      <w:r>
        <w:rPr>
          <w:sz w:val="20"/>
          <w:szCs w:val="20"/>
          <w:lang w:val="fr-FR"/>
        </w:rPr>
        <w:t>. Donc, l</w:t>
      </w:r>
      <w:r w:rsidRPr="00A25284">
        <w:rPr>
          <w:sz w:val="20"/>
          <w:szCs w:val="20"/>
          <w:lang w:val="fr-FR"/>
        </w:rPr>
        <w:t xml:space="preserve">a pratique de la co-construction démocratique n’a pas pour </w:t>
      </w:r>
      <w:r>
        <w:rPr>
          <w:sz w:val="20"/>
          <w:szCs w:val="20"/>
          <w:lang w:val="fr-FR"/>
        </w:rPr>
        <w:t>implication</w:t>
      </w:r>
      <w:r w:rsidRPr="00A25284">
        <w:rPr>
          <w:sz w:val="20"/>
          <w:szCs w:val="20"/>
          <w:lang w:val="fr-FR"/>
        </w:rPr>
        <w:t xml:space="preserve"> de placer sur un strict pied d’égalité les représentants de la démocratie participative et </w:t>
      </w:r>
      <w:r>
        <w:rPr>
          <w:sz w:val="20"/>
          <w:szCs w:val="20"/>
          <w:lang w:val="fr-FR"/>
        </w:rPr>
        <w:t xml:space="preserve">ceux </w:t>
      </w:r>
      <w:r w:rsidRPr="00A25284">
        <w:rPr>
          <w:sz w:val="20"/>
          <w:szCs w:val="20"/>
          <w:lang w:val="fr-FR"/>
        </w:rPr>
        <w:t xml:space="preserve">de la démocratie représentative. Les élus politiques ont le dernier mot. </w:t>
      </w:r>
      <w:r>
        <w:rPr>
          <w:sz w:val="20"/>
          <w:szCs w:val="20"/>
          <w:lang w:val="fr-FR"/>
        </w:rPr>
        <w:t>Ceci étant dit, la théorie classique de l’imputabilité des élus, à l’encontre de ce qui arrive souvent, ne doit pas devenir un prétexte pour menotter la participation citoyenne en l’obligeant à demeurer strictement consultative.</w:t>
      </w:r>
    </w:p>
    <w:p w14:paraId="1D61A7EE" w14:textId="77777777" w:rsidR="00113C0A" w:rsidRPr="00A25284" w:rsidRDefault="00113C0A">
      <w:pPr>
        <w:pStyle w:val="Notedebasdepage"/>
        <w:rPr>
          <w:lang w:val="fr-FR"/>
        </w:rPr>
      </w:pPr>
    </w:p>
  </w:footnote>
  <w:footnote w:id="10">
    <w:p w14:paraId="46740604" w14:textId="77777777" w:rsidR="00113C0A" w:rsidRPr="007C6AE3" w:rsidRDefault="00113C0A" w:rsidP="000C76C6">
      <w:pPr>
        <w:rPr>
          <w:lang w:val="fr-FR"/>
        </w:rPr>
      </w:pPr>
      <w:r>
        <w:rPr>
          <w:rStyle w:val="Marquenotebasdepage"/>
        </w:rPr>
        <w:footnoteRef/>
      </w:r>
      <w:r>
        <w:t xml:space="preserve"> </w:t>
      </w:r>
      <w:r>
        <w:rPr>
          <w:sz w:val="20"/>
          <w:szCs w:val="20"/>
        </w:rPr>
        <w:t xml:space="preserve">Parmi les défis </w:t>
      </w:r>
      <w:r w:rsidRPr="007C6AE3">
        <w:rPr>
          <w:sz w:val="20"/>
          <w:szCs w:val="20"/>
        </w:rPr>
        <w:t>de la co-construction</w:t>
      </w:r>
      <w:r>
        <w:rPr>
          <w:sz w:val="20"/>
          <w:szCs w:val="20"/>
        </w:rPr>
        <w:t xml:space="preserve"> démocratique</w:t>
      </w:r>
      <w:r w:rsidRPr="007C6AE3">
        <w:rPr>
          <w:sz w:val="20"/>
          <w:szCs w:val="20"/>
        </w:rPr>
        <w:t xml:space="preserve">, </w:t>
      </w:r>
      <w:r>
        <w:rPr>
          <w:sz w:val="20"/>
          <w:szCs w:val="20"/>
        </w:rPr>
        <w:t>si on se place</w:t>
      </w:r>
      <w:r w:rsidRPr="007C6AE3">
        <w:rPr>
          <w:sz w:val="20"/>
          <w:szCs w:val="20"/>
        </w:rPr>
        <w:t xml:space="preserve"> du côté de la société politique, </w:t>
      </w:r>
      <w:r>
        <w:rPr>
          <w:sz w:val="20"/>
          <w:szCs w:val="20"/>
        </w:rPr>
        <w:t>il y a</w:t>
      </w:r>
      <w:r w:rsidRPr="007C6AE3">
        <w:rPr>
          <w:sz w:val="20"/>
          <w:szCs w:val="20"/>
        </w:rPr>
        <w:t xml:space="preserve"> la délibération entre les institutions et acteurs  exécutifs d’un</w:t>
      </w:r>
      <w:r>
        <w:t xml:space="preserve"> </w:t>
      </w:r>
      <w:r w:rsidRPr="007C6AE3">
        <w:rPr>
          <w:sz w:val="20"/>
          <w:szCs w:val="20"/>
        </w:rPr>
        <w:t>côté et les institutions et</w:t>
      </w:r>
      <w:r>
        <w:t xml:space="preserve"> </w:t>
      </w:r>
      <w:r w:rsidRPr="007C6AE3">
        <w:rPr>
          <w:sz w:val="20"/>
          <w:szCs w:val="20"/>
        </w:rPr>
        <w:t xml:space="preserve">acteurs législatifs de l’autre. Dans plusieurs pays du Nord et du Sud, on </w:t>
      </w:r>
      <w:r>
        <w:rPr>
          <w:sz w:val="20"/>
          <w:szCs w:val="20"/>
        </w:rPr>
        <w:t>observe</w:t>
      </w:r>
      <w:r w:rsidRPr="007C6AE3">
        <w:rPr>
          <w:sz w:val="20"/>
          <w:szCs w:val="20"/>
        </w:rPr>
        <w:t xml:space="preserve"> une</w:t>
      </w:r>
      <w:r>
        <w:t xml:space="preserve"> </w:t>
      </w:r>
      <w:r w:rsidRPr="007C6AE3">
        <w:rPr>
          <w:sz w:val="20"/>
          <w:szCs w:val="20"/>
        </w:rPr>
        <w:t xml:space="preserve">concentration </w:t>
      </w:r>
      <w:r>
        <w:rPr>
          <w:sz w:val="20"/>
          <w:szCs w:val="20"/>
        </w:rPr>
        <w:t>accrue des</w:t>
      </w:r>
      <w:r w:rsidRPr="007C6AE3">
        <w:rPr>
          <w:sz w:val="20"/>
          <w:szCs w:val="20"/>
        </w:rPr>
        <w:t xml:space="preserve"> pouvoir</w:t>
      </w:r>
      <w:r>
        <w:rPr>
          <w:sz w:val="20"/>
          <w:szCs w:val="20"/>
        </w:rPr>
        <w:t>s</w:t>
      </w:r>
      <w:r w:rsidRPr="007C6AE3">
        <w:rPr>
          <w:sz w:val="20"/>
          <w:szCs w:val="20"/>
        </w:rPr>
        <w:t xml:space="preserve"> de l’exécutif au d</w:t>
      </w:r>
      <w:r>
        <w:rPr>
          <w:sz w:val="20"/>
          <w:szCs w:val="20"/>
        </w:rPr>
        <w:t>étriment de ceux du législatif, ce qui réduit le caractère démocratique de</w:t>
      </w:r>
      <w:r w:rsidRPr="007C6AE3">
        <w:rPr>
          <w:sz w:val="20"/>
          <w:szCs w:val="20"/>
        </w:rPr>
        <w:t xml:space="preserve"> la co-construction.</w:t>
      </w:r>
    </w:p>
  </w:footnote>
  <w:footnote w:id="11">
    <w:p w14:paraId="6C1795E7" w14:textId="77777777" w:rsidR="00113C0A" w:rsidRPr="00EE0E1A" w:rsidRDefault="00113C0A" w:rsidP="00EE0E1A">
      <w:pPr>
        <w:rPr>
          <w:sz w:val="20"/>
          <w:szCs w:val="20"/>
        </w:rPr>
      </w:pPr>
      <w:r>
        <w:rPr>
          <w:rStyle w:val="Marquenotebasdepage"/>
        </w:rPr>
        <w:footnoteRef/>
      </w:r>
      <w:r>
        <w:t xml:space="preserve"> </w:t>
      </w:r>
      <w:r w:rsidRPr="00EE0E1A">
        <w:rPr>
          <w:sz w:val="20"/>
          <w:szCs w:val="20"/>
        </w:rPr>
        <w:t>La co-construction peut se faire, ou ne pas se faire, à l’intérieur de chaque parti ou formation politique. Les orientations d’un parti politique peuvent être ou ne pas être co-construites à partir d’une délibération entre les instances d’un parti et les composantes de la société civile avec le</w:t>
      </w:r>
      <w:r>
        <w:rPr>
          <w:sz w:val="20"/>
          <w:szCs w:val="20"/>
        </w:rPr>
        <w:t>s</w:t>
      </w:r>
      <w:r w:rsidRPr="00EE0E1A">
        <w:rPr>
          <w:sz w:val="20"/>
          <w:szCs w:val="20"/>
        </w:rPr>
        <w:t>quel</w:t>
      </w:r>
      <w:r>
        <w:rPr>
          <w:sz w:val="20"/>
          <w:szCs w:val="20"/>
        </w:rPr>
        <w:t xml:space="preserve">les il </w:t>
      </w:r>
      <w:r w:rsidRPr="00EE0E1A">
        <w:rPr>
          <w:sz w:val="20"/>
          <w:szCs w:val="20"/>
        </w:rPr>
        <w:t>entre en interaction. Les partis</w:t>
      </w:r>
      <w:r>
        <w:rPr>
          <w:sz w:val="20"/>
          <w:szCs w:val="20"/>
        </w:rPr>
        <w:t xml:space="preserve">, </w:t>
      </w:r>
      <w:r w:rsidRPr="00EE0E1A">
        <w:rPr>
          <w:sz w:val="20"/>
          <w:szCs w:val="20"/>
        </w:rPr>
        <w:t>au sein même de la société politique</w:t>
      </w:r>
      <w:r>
        <w:rPr>
          <w:sz w:val="20"/>
          <w:szCs w:val="20"/>
        </w:rPr>
        <w:t>,</w:t>
      </w:r>
      <w:r w:rsidRPr="00EE0E1A">
        <w:rPr>
          <w:sz w:val="20"/>
          <w:szCs w:val="20"/>
        </w:rPr>
        <w:t xml:space="preserve"> ont la possibilité aussi de co-construire en délibérant entre eux.</w:t>
      </w:r>
    </w:p>
    <w:p w14:paraId="5FDE9F93" w14:textId="77777777" w:rsidR="00113C0A" w:rsidRPr="00EE0E1A" w:rsidRDefault="00113C0A">
      <w:pPr>
        <w:pStyle w:val="Notedebasdepage"/>
        <w:rPr>
          <w:lang w:val="fr-FR"/>
        </w:rPr>
      </w:pPr>
    </w:p>
  </w:footnote>
  <w:footnote w:id="12">
    <w:p w14:paraId="7A9CB087" w14:textId="77777777" w:rsidR="00113C0A" w:rsidRPr="003712DF" w:rsidRDefault="00113C0A">
      <w:pPr>
        <w:pStyle w:val="Notedebasdepage"/>
        <w:rPr>
          <w:sz w:val="20"/>
          <w:szCs w:val="20"/>
          <w:lang w:val="fr-FR"/>
        </w:rPr>
      </w:pPr>
      <w:r>
        <w:rPr>
          <w:rStyle w:val="Marquenotebasdepage"/>
        </w:rPr>
        <w:footnoteRef/>
      </w:r>
      <w:r>
        <w:t xml:space="preserve"> </w:t>
      </w:r>
      <w:r>
        <w:rPr>
          <w:sz w:val="20"/>
          <w:szCs w:val="20"/>
          <w:lang w:val="fr-FR"/>
        </w:rPr>
        <w:t xml:space="preserve">D’ailleurs, l’idée de tenir des forums socioéconomiques et de choisir des modalités qui permettaient d’incorporer une diversité d’acteurs des mouvements sociaux dont ceux de l’ESS ne provenait pas seulement de la nouvelle direction du gouvernement du Québec mais aussi de dirigeants de mouvements sociaux (Entretien avec Gérald Larose, ancien président de la CSN, le 17 avril 2014). </w:t>
      </w:r>
    </w:p>
  </w:footnote>
  <w:footnote w:id="13">
    <w:p w14:paraId="682D1AFC" w14:textId="77777777" w:rsidR="00113C0A" w:rsidRPr="00666B6D" w:rsidRDefault="00113C0A" w:rsidP="000B6AD8">
      <w:pPr>
        <w:rPr>
          <w:lang w:val="fr-FR"/>
        </w:rPr>
      </w:pPr>
      <w:r>
        <w:rPr>
          <w:rStyle w:val="Marquenotebasdepage"/>
        </w:rPr>
        <w:footnoteRef/>
      </w:r>
      <w:r>
        <w:t xml:space="preserve"> </w:t>
      </w:r>
      <w:r w:rsidRPr="00666B6D">
        <w:rPr>
          <w:sz w:val="20"/>
          <w:szCs w:val="20"/>
        </w:rPr>
        <w:t xml:space="preserve">Lorsque </w:t>
      </w:r>
      <w:r>
        <w:rPr>
          <w:sz w:val="20"/>
          <w:szCs w:val="20"/>
        </w:rPr>
        <w:t>nous disons</w:t>
      </w:r>
      <w:r w:rsidRPr="00666B6D">
        <w:rPr>
          <w:sz w:val="20"/>
          <w:szCs w:val="20"/>
        </w:rPr>
        <w:t xml:space="preserve"> latino-américain, pour faire court, </w:t>
      </w:r>
      <w:r>
        <w:rPr>
          <w:sz w:val="20"/>
          <w:szCs w:val="20"/>
        </w:rPr>
        <w:t>nous pensons non seulement aux pays de l’Amérique du Sud, mais aussi à ceux de</w:t>
      </w:r>
      <w:r w:rsidRPr="00666B6D">
        <w:rPr>
          <w:sz w:val="20"/>
          <w:szCs w:val="20"/>
        </w:rPr>
        <w:t xml:space="preserve"> l’ensemble des pays de l’Am</w:t>
      </w:r>
      <w:r>
        <w:rPr>
          <w:sz w:val="20"/>
          <w:szCs w:val="20"/>
        </w:rPr>
        <w:t xml:space="preserve">érique centrale et des Caraïbes, </w:t>
      </w:r>
      <w:r w:rsidRPr="00666B6D">
        <w:rPr>
          <w:sz w:val="20"/>
          <w:szCs w:val="20"/>
        </w:rPr>
        <w:t xml:space="preserve">sans </w:t>
      </w:r>
      <w:r>
        <w:rPr>
          <w:sz w:val="20"/>
          <w:szCs w:val="20"/>
        </w:rPr>
        <w:t>oublier Haïti</w:t>
      </w:r>
      <w:r w:rsidRPr="00666B6D">
        <w:rPr>
          <w:sz w:val="20"/>
          <w:szCs w:val="20"/>
        </w:rPr>
        <w:t xml:space="preserve">. </w:t>
      </w:r>
      <w:r>
        <w:rPr>
          <w:sz w:val="20"/>
          <w:szCs w:val="20"/>
        </w:rPr>
        <w:t>D’où l’utilisation du sigle ALC qui renvoie à la région de l’Amérique latine et des Caraïbes.</w:t>
      </w:r>
    </w:p>
  </w:footnote>
  <w:footnote w:id="14">
    <w:p w14:paraId="25711DC6" w14:textId="77777777" w:rsidR="00113C0A" w:rsidRDefault="00113C0A">
      <w:pPr>
        <w:pStyle w:val="Notedebasdepage"/>
        <w:rPr>
          <w:sz w:val="20"/>
          <w:szCs w:val="20"/>
          <w:lang w:val="fr-FR"/>
        </w:rPr>
      </w:pPr>
      <w:r>
        <w:rPr>
          <w:rStyle w:val="Marquenotebasdepage"/>
        </w:rPr>
        <w:footnoteRef/>
      </w:r>
      <w:r>
        <w:t xml:space="preserve"> </w:t>
      </w:r>
      <w:r>
        <w:rPr>
          <w:sz w:val="20"/>
          <w:szCs w:val="20"/>
          <w:lang w:val="fr-FR"/>
        </w:rPr>
        <w:t>Pour Emir Sader (2014b), sociologue de gauche brésilien, la région de l’ALC, grâce aux avancées faites par la gauche dans plusieurs pays, serait présentement en transition vers une « hégémonie post-néolibérale ».</w:t>
      </w:r>
      <w:r w:rsidRPr="00EC3DBB">
        <w:rPr>
          <w:sz w:val="20"/>
          <w:szCs w:val="20"/>
          <w:lang w:val="fr-FR"/>
        </w:rPr>
        <w:t xml:space="preserve"> </w:t>
      </w:r>
    </w:p>
    <w:p w14:paraId="7F9001CD" w14:textId="77777777" w:rsidR="00113C0A" w:rsidRPr="00EC3DBB" w:rsidRDefault="00113C0A">
      <w:pPr>
        <w:pStyle w:val="Notedebasdepage"/>
        <w:rPr>
          <w:lang w:val="fr-FR"/>
        </w:rPr>
      </w:pPr>
    </w:p>
  </w:footnote>
  <w:footnote w:id="15">
    <w:p w14:paraId="52A2239C" w14:textId="58C65300" w:rsidR="00113C0A" w:rsidRDefault="00113C0A">
      <w:pPr>
        <w:pStyle w:val="Notedebasdepage"/>
        <w:rPr>
          <w:sz w:val="20"/>
          <w:szCs w:val="20"/>
          <w:lang w:val="fr-FR"/>
        </w:rPr>
      </w:pPr>
      <w:r>
        <w:rPr>
          <w:rStyle w:val="Marquenotebasdepage"/>
        </w:rPr>
        <w:footnoteRef/>
      </w:r>
      <w:r>
        <w:t xml:space="preserve"> </w:t>
      </w:r>
      <w:r>
        <w:rPr>
          <w:sz w:val="20"/>
          <w:szCs w:val="20"/>
          <w:lang w:val="fr-FR"/>
        </w:rPr>
        <w:t xml:space="preserve">Notre section sur le Mexique a été rédigée avant que ne surviennent les incidents dramatiques d’Ayotzinapa, dans la Ville d’Iguala, dans l’État de Guerrero, le 26 septembre 2014. Ce jour-là, la répression et la violence ont sévi à nouveau au Mexique en frappant les étudiants d’une école normale. Parmi les victimes, 6 étudiants ont été tués, 15 ont été blessés et 43 sont disparus. Au cours des semaines qui ont suivi, les autorités politiques locales et nationales se sont discréditées en refusant de faire la lumière sur leurs responsabilités et en tenant des propos confus et farfelus sur celles des narcotraficants, des policiers, de l’armée, etc. Le président </w:t>
      </w:r>
      <w:r w:rsidRPr="00247C2D">
        <w:rPr>
          <w:sz w:val="20"/>
          <w:szCs w:val="20"/>
        </w:rPr>
        <w:t>Peña</w:t>
      </w:r>
      <w:r>
        <w:rPr>
          <w:sz w:val="20"/>
          <w:szCs w:val="20"/>
        </w:rPr>
        <w:t xml:space="preserve"> Nieto</w:t>
      </w:r>
      <w:r>
        <w:rPr>
          <w:sz w:val="20"/>
          <w:szCs w:val="20"/>
          <w:lang w:val="fr-FR"/>
        </w:rPr>
        <w:t xml:space="preserve"> a mis du temps à s’expliquer publiquement, sous prétexte qu’il ne s’agissait que d’une simple « affaire locale ». De leur côté, les parents des 43 étudiants disparus se sont mobilisés et ont mis une pression croissante sur les autorités pour qu’elles « retrouvent vivants les 43 disparus ». Ces demandes ont été reprises par une pléthore d’organisations de la société civile provenant de tout le pays et par un mouvement de sympathie internationale de grande envergure. Deux mois plus tard, on constate que les incidents d’Ayotzinapa sont devenus un mouvement qui pourrait faire partie « des mouvements </w:t>
      </w:r>
      <w:r w:rsidRPr="0050784A">
        <w:rPr>
          <w:i/>
          <w:sz w:val="20"/>
          <w:szCs w:val="20"/>
          <w:lang w:val="fr-FR"/>
        </w:rPr>
        <w:t>antisistémicos</w:t>
      </w:r>
      <w:r>
        <w:rPr>
          <w:sz w:val="20"/>
          <w:szCs w:val="20"/>
          <w:lang w:val="fr-FR"/>
        </w:rPr>
        <w:t xml:space="preserve"> de longue durée » (Zibechi, 2014d). La violence exercée à Ayotzinapa été la goutte qui a fait déborder le verre. Elle joué un rôle de « détonnateur » d’une crise politique institutionnelle qui déstabilise le gouvernement fédéral de </w:t>
      </w:r>
      <w:r w:rsidRPr="00247C2D">
        <w:rPr>
          <w:sz w:val="20"/>
          <w:szCs w:val="20"/>
        </w:rPr>
        <w:t>Peña</w:t>
      </w:r>
      <w:r>
        <w:rPr>
          <w:sz w:val="20"/>
          <w:szCs w:val="20"/>
          <w:lang w:val="fr-FR"/>
        </w:rPr>
        <w:t xml:space="preserve">. Après deux années de passées sur un mandat de six ans, le président </w:t>
      </w:r>
      <w:r w:rsidRPr="00247C2D">
        <w:rPr>
          <w:sz w:val="20"/>
          <w:szCs w:val="20"/>
        </w:rPr>
        <w:t>Peña</w:t>
      </w:r>
      <w:r>
        <w:rPr>
          <w:sz w:val="20"/>
          <w:szCs w:val="20"/>
          <w:lang w:val="fr-FR"/>
        </w:rPr>
        <w:t xml:space="preserve"> est mis sur la défensive par des demandes de démission provenant de toutes parts. Un éditorial de </w:t>
      </w:r>
      <w:r>
        <w:rPr>
          <w:i/>
          <w:sz w:val="20"/>
          <w:szCs w:val="20"/>
          <w:lang w:val="fr-FR"/>
        </w:rPr>
        <w:t>La Jornada</w:t>
      </w:r>
      <w:r>
        <w:rPr>
          <w:sz w:val="20"/>
          <w:szCs w:val="20"/>
          <w:lang w:val="fr-FR"/>
        </w:rPr>
        <w:t xml:space="preserve">  (2014) fait référence à « une irritation et une mobilisation sociale impensables avant le 26 septembre » et à « une crise de crédibilité sans précédent dans l’histoire moderne du pays ». Si bien, que le Mexique se trouve « placé dans une situation qui n’est pas éloignée de l’ingouvernabilité ». À un point tel, que divers scénarios de transformation </w:t>
      </w:r>
      <w:r w:rsidR="00567B24">
        <w:rPr>
          <w:sz w:val="20"/>
          <w:szCs w:val="20"/>
          <w:lang w:val="fr-FR"/>
        </w:rPr>
        <w:t xml:space="preserve">peuvent </w:t>
      </w:r>
      <w:r>
        <w:rPr>
          <w:sz w:val="20"/>
          <w:szCs w:val="20"/>
          <w:lang w:val="fr-FR"/>
        </w:rPr>
        <w:t xml:space="preserve">se pointer à l’horizon et que plusieurs analystes de gauche </w:t>
      </w:r>
      <w:r w:rsidR="00FE70B2">
        <w:rPr>
          <w:sz w:val="20"/>
          <w:szCs w:val="20"/>
          <w:lang w:val="fr-FR"/>
        </w:rPr>
        <w:t xml:space="preserve">ont commencé </w:t>
      </w:r>
      <w:r>
        <w:rPr>
          <w:sz w:val="20"/>
          <w:szCs w:val="20"/>
          <w:lang w:val="fr-FR"/>
        </w:rPr>
        <w:t xml:space="preserve">à parler </w:t>
      </w:r>
      <w:r w:rsidR="00FE70B2">
        <w:rPr>
          <w:sz w:val="20"/>
          <w:szCs w:val="20"/>
          <w:lang w:val="fr-FR"/>
        </w:rPr>
        <w:t>des</w:t>
      </w:r>
      <w:r w:rsidR="00567B24">
        <w:rPr>
          <w:sz w:val="20"/>
          <w:szCs w:val="20"/>
          <w:lang w:val="fr-FR"/>
        </w:rPr>
        <w:t xml:space="preserve"> stratégies de transformation</w:t>
      </w:r>
      <w:r w:rsidR="00FE70B2">
        <w:rPr>
          <w:sz w:val="20"/>
          <w:szCs w:val="20"/>
          <w:lang w:val="fr-FR"/>
        </w:rPr>
        <w:t xml:space="preserve"> </w:t>
      </w:r>
      <w:r w:rsidR="00E744D6">
        <w:rPr>
          <w:sz w:val="20"/>
          <w:szCs w:val="20"/>
          <w:lang w:val="fr-FR"/>
        </w:rPr>
        <w:t>pour l’ère</w:t>
      </w:r>
      <w:r>
        <w:rPr>
          <w:sz w:val="20"/>
          <w:szCs w:val="20"/>
          <w:lang w:val="fr-FR"/>
        </w:rPr>
        <w:t xml:space="preserve"> « Después de </w:t>
      </w:r>
      <w:r w:rsidRPr="00247C2D">
        <w:rPr>
          <w:sz w:val="20"/>
          <w:szCs w:val="20"/>
        </w:rPr>
        <w:t>Peña</w:t>
      </w:r>
      <w:r>
        <w:rPr>
          <w:sz w:val="20"/>
          <w:szCs w:val="20"/>
        </w:rPr>
        <w:t> »</w:t>
      </w:r>
      <w:r>
        <w:rPr>
          <w:sz w:val="20"/>
          <w:szCs w:val="20"/>
          <w:lang w:val="fr-FR"/>
        </w:rPr>
        <w:t xml:space="preserve"> (IETD, 2014 ; Ackerman, 2014e et 2014f</w:t>
      </w:r>
      <w:r>
        <w:rPr>
          <w:sz w:val="20"/>
          <w:szCs w:val="20"/>
          <w:vertAlign w:val="superscript"/>
          <w:lang w:val="fr-FR"/>
        </w:rPr>
        <w:t> </w:t>
      </w:r>
      <w:r w:rsidRPr="002F42C4">
        <w:rPr>
          <w:sz w:val="20"/>
          <w:szCs w:val="20"/>
          <w:lang w:val="fr-FR"/>
        </w:rPr>
        <w:t xml:space="preserve">; </w:t>
      </w:r>
      <w:r w:rsidRPr="00E744D6">
        <w:rPr>
          <w:sz w:val="20"/>
          <w:szCs w:val="20"/>
          <w:highlight w:val="yellow"/>
          <w:lang w:val="en-CA"/>
        </w:rPr>
        <w:t>Calderon</w:t>
      </w:r>
      <w:r w:rsidRPr="00E511B7">
        <w:rPr>
          <w:sz w:val="20"/>
          <w:szCs w:val="20"/>
          <w:lang w:val="en-CA"/>
        </w:rPr>
        <w:t xml:space="preserve"> Alzati</w:t>
      </w:r>
      <w:r>
        <w:rPr>
          <w:sz w:val="20"/>
          <w:szCs w:val="20"/>
          <w:lang w:val="fr-FR"/>
        </w:rPr>
        <w:t xml:space="preserve">, 2014 ; Zibechi, 2014 ; Almeyra, 2014). </w:t>
      </w:r>
      <w:r w:rsidR="00E744D6">
        <w:rPr>
          <w:sz w:val="20"/>
          <w:szCs w:val="20"/>
          <w:lang w:val="fr-FR"/>
        </w:rPr>
        <w:t xml:space="preserve"> Certaines de ces stratégies s’harmonisent avec la co-construction. D’autres pas. D’où l’intérêt de continuer à suivre ce dossier. </w:t>
      </w:r>
      <w:bookmarkStart w:id="13" w:name="_GoBack"/>
      <w:bookmarkEnd w:id="13"/>
      <w:r>
        <w:rPr>
          <w:sz w:val="20"/>
          <w:szCs w:val="20"/>
          <w:lang w:val="fr-FR"/>
        </w:rPr>
        <w:t xml:space="preserve"> </w:t>
      </w:r>
    </w:p>
    <w:p w14:paraId="313D078B" w14:textId="77777777" w:rsidR="00113C0A" w:rsidRPr="003E42A2" w:rsidRDefault="00113C0A">
      <w:pPr>
        <w:pStyle w:val="Notedebasdepage"/>
        <w:rPr>
          <w:sz w:val="20"/>
          <w:szCs w:val="20"/>
          <w:lang w:val="fr-FR"/>
        </w:rPr>
      </w:pPr>
      <w:r>
        <w:rPr>
          <w:sz w:val="20"/>
          <w:szCs w:val="20"/>
          <w:lang w:val="fr-FR"/>
        </w:rPr>
        <w:t xml:space="preserve">    </w:t>
      </w:r>
    </w:p>
  </w:footnote>
  <w:footnote w:id="16">
    <w:p w14:paraId="0D571A3E" w14:textId="77777777" w:rsidR="00113C0A" w:rsidRPr="00C9718C" w:rsidRDefault="00113C0A">
      <w:pPr>
        <w:pStyle w:val="Notedebasdepage"/>
        <w:rPr>
          <w:lang w:val="fr-FR"/>
        </w:rPr>
      </w:pPr>
      <w:r>
        <w:rPr>
          <w:rStyle w:val="Marquenotebasdepage"/>
        </w:rPr>
        <w:footnoteRef/>
      </w:r>
      <w:r>
        <w:t xml:space="preserve"> </w:t>
      </w:r>
      <w:r w:rsidRPr="00C9718C">
        <w:rPr>
          <w:sz w:val="20"/>
          <w:szCs w:val="20"/>
        </w:rPr>
        <w:t xml:space="preserve">La co-construction démocratique est difficile à pratiquer aussi dans des pays comme Haïti où il n’y a pas d’État social. </w:t>
      </w:r>
      <w:r>
        <w:rPr>
          <w:sz w:val="20"/>
          <w:szCs w:val="20"/>
        </w:rPr>
        <w:t>S’</w:t>
      </w:r>
      <w:r w:rsidRPr="00C9718C">
        <w:rPr>
          <w:sz w:val="20"/>
          <w:szCs w:val="20"/>
        </w:rPr>
        <w:t>il n’y a pas d’État</w:t>
      </w:r>
      <w:r>
        <w:rPr>
          <w:sz w:val="20"/>
          <w:szCs w:val="20"/>
        </w:rPr>
        <w:t xml:space="preserve"> social</w:t>
      </w:r>
      <w:r w:rsidRPr="00C9718C">
        <w:rPr>
          <w:sz w:val="20"/>
          <w:szCs w:val="20"/>
        </w:rPr>
        <w:t>, ou</w:t>
      </w:r>
      <w:r>
        <w:rPr>
          <w:sz w:val="20"/>
          <w:szCs w:val="20"/>
        </w:rPr>
        <w:t xml:space="preserve"> encore</w:t>
      </w:r>
      <w:r w:rsidRPr="00C9718C">
        <w:rPr>
          <w:sz w:val="20"/>
          <w:szCs w:val="20"/>
        </w:rPr>
        <w:t xml:space="preserve"> </w:t>
      </w:r>
      <w:r>
        <w:rPr>
          <w:sz w:val="20"/>
          <w:szCs w:val="20"/>
        </w:rPr>
        <w:t>si</w:t>
      </w:r>
      <w:r w:rsidRPr="00C9718C">
        <w:rPr>
          <w:sz w:val="20"/>
          <w:szCs w:val="20"/>
        </w:rPr>
        <w:t xml:space="preserve"> l’État-nation n’est pas intéressé à dialoguer avec la société civile, il n’y a pas de place pour la co-construction démocratique puisque, comme nous l’avons dit, il faut être deux pour danser le tango.</w:t>
      </w:r>
    </w:p>
  </w:footnote>
  <w:footnote w:id="17">
    <w:p w14:paraId="61967F95" w14:textId="77777777" w:rsidR="00113C0A" w:rsidRPr="007D7A02" w:rsidRDefault="00113C0A">
      <w:pPr>
        <w:pStyle w:val="Notedebasdepage"/>
        <w:rPr>
          <w:sz w:val="20"/>
          <w:szCs w:val="20"/>
          <w:lang w:val="fr-FR"/>
        </w:rPr>
      </w:pPr>
      <w:r>
        <w:rPr>
          <w:rStyle w:val="Marquenotebasdepage"/>
        </w:rPr>
        <w:footnoteRef/>
      </w:r>
      <w:r>
        <w:t xml:space="preserve"> </w:t>
      </w:r>
      <w:r>
        <w:rPr>
          <w:sz w:val="20"/>
          <w:szCs w:val="20"/>
          <w:lang w:val="fr-FR"/>
        </w:rPr>
        <w:t>Les traductions de l’espagnol au français sont de nous.</w:t>
      </w:r>
    </w:p>
  </w:footnote>
  <w:footnote w:id="18">
    <w:p w14:paraId="65A966C5" w14:textId="77777777" w:rsidR="00113C0A" w:rsidRPr="00100838" w:rsidRDefault="00113C0A">
      <w:pPr>
        <w:pStyle w:val="Notedebasdepage"/>
        <w:rPr>
          <w:sz w:val="20"/>
          <w:szCs w:val="20"/>
          <w:lang w:val="fr-FR"/>
        </w:rPr>
      </w:pPr>
      <w:r>
        <w:rPr>
          <w:rStyle w:val="Marquenotebasdepage"/>
        </w:rPr>
        <w:footnoteRef/>
      </w:r>
      <w:r>
        <w:t xml:space="preserve"> </w:t>
      </w:r>
      <w:r>
        <w:rPr>
          <w:sz w:val="20"/>
          <w:szCs w:val="20"/>
          <w:lang w:val="fr-FR"/>
        </w:rPr>
        <w:t xml:space="preserve">Le Mexique, l’Argentine et le Brésil en ALC sont dotés d’un système politique fédéral. Mais comparativement à celui du Brésil, le système fédéral en Argentine et au Mexique est très centralisé. </w:t>
      </w:r>
    </w:p>
  </w:footnote>
  <w:footnote w:id="19">
    <w:p w14:paraId="2ED88622" w14:textId="77777777" w:rsidR="00113C0A" w:rsidRPr="00930FB3" w:rsidRDefault="00113C0A">
      <w:pPr>
        <w:pStyle w:val="Notedebasdepage"/>
        <w:rPr>
          <w:sz w:val="20"/>
          <w:szCs w:val="20"/>
          <w:lang w:val="fr-FR"/>
        </w:rPr>
      </w:pPr>
      <w:r>
        <w:rPr>
          <w:rStyle w:val="Marquenotebasdepage"/>
        </w:rPr>
        <w:footnoteRef/>
      </w:r>
      <w:r>
        <w:t xml:space="preserve"> </w:t>
      </w:r>
      <w:r>
        <w:rPr>
          <w:sz w:val="20"/>
          <w:szCs w:val="20"/>
          <w:lang w:val="fr-FR"/>
        </w:rPr>
        <w:t xml:space="preserve">Pour que la co-construction démocratique soit possible, il faut que sur certains territoires des élus politiques locaux puissent coopérer avec des acteurs socioéconomiques et socioculturels de la société civile pour développer de nouvelles politiques. Au Mexique, dans plusieurs territoires et domaines de vie collective, il y a des acteurs sociaux qui développent des pratiques sociales pour exprimer leur résistance aux projets des pouvoirs dominants,  et proposer des projets alternatifs. Nous pensons par exemple à l’action des Zapatistes dans le Chiapas. Ces acteurs sociaux ancrés dans la société civile existent et développent des pratiques de résistance. Toutefois, ils ne semblent pas trouver facilement </w:t>
      </w:r>
      <w:r>
        <w:rPr>
          <w:rFonts w:ascii="Cambria" w:hAnsi="Cambria"/>
          <w:sz w:val="20"/>
          <w:szCs w:val="20"/>
          <w:lang w:val="fr-FR"/>
        </w:rPr>
        <w:t>—</w:t>
      </w:r>
      <w:r>
        <w:rPr>
          <w:sz w:val="20"/>
          <w:szCs w:val="20"/>
          <w:lang w:val="fr-FR"/>
        </w:rPr>
        <w:t>ou chercher ?</w:t>
      </w:r>
      <w:r w:rsidRPr="00E76473">
        <w:rPr>
          <w:rFonts w:ascii="Cambria" w:hAnsi="Cambria"/>
          <w:sz w:val="20"/>
          <w:szCs w:val="20"/>
          <w:lang w:val="fr-FR"/>
        </w:rPr>
        <w:t xml:space="preserve"> </w:t>
      </w:r>
      <w:r>
        <w:rPr>
          <w:rFonts w:ascii="Cambria" w:hAnsi="Cambria"/>
          <w:sz w:val="20"/>
          <w:szCs w:val="20"/>
          <w:lang w:val="fr-FR"/>
        </w:rPr>
        <w:t>—</w:t>
      </w:r>
      <w:r>
        <w:rPr>
          <w:sz w:val="20"/>
          <w:szCs w:val="20"/>
          <w:lang w:val="fr-FR"/>
        </w:rPr>
        <w:t xml:space="preserve"> dans la société politique des élus qui pourraient devenir leurs alliés politiques et avec lesquels ils auraient la possibilité de co-construire démocratiquement des politiques publiques progressistes.</w:t>
      </w:r>
    </w:p>
  </w:footnote>
  <w:footnote w:id="20">
    <w:p w14:paraId="439E95C7" w14:textId="77777777" w:rsidR="00113C0A" w:rsidRPr="000B65AB" w:rsidRDefault="00113C0A">
      <w:pPr>
        <w:pStyle w:val="Notedebasdepage"/>
        <w:rPr>
          <w:sz w:val="20"/>
          <w:szCs w:val="20"/>
          <w:lang w:val="fr-FR"/>
        </w:rPr>
      </w:pPr>
      <w:r>
        <w:rPr>
          <w:rStyle w:val="Marquenotebasdepage"/>
        </w:rPr>
        <w:footnoteRef/>
      </w:r>
      <w:r>
        <w:t xml:space="preserve"> </w:t>
      </w:r>
      <w:r>
        <w:rPr>
          <w:sz w:val="20"/>
          <w:szCs w:val="20"/>
          <w:lang w:val="fr-FR"/>
        </w:rPr>
        <w:t xml:space="preserve">Tant au Pérou qu’en Colombie, on retrouve des réseaux diversifiés et vigoureux d’ESS qui sont </w:t>
      </w:r>
      <w:r w:rsidRPr="00E15B0C">
        <w:rPr>
          <w:sz w:val="20"/>
          <w:szCs w:val="20"/>
          <w:lang w:val="fr-FR"/>
        </w:rPr>
        <w:t>parties prenantes</w:t>
      </w:r>
      <w:r>
        <w:rPr>
          <w:sz w:val="20"/>
          <w:szCs w:val="20"/>
          <w:lang w:val="fr-FR"/>
        </w:rPr>
        <w:t xml:space="preserve"> des expériences de démocratisation économique et politique mentionnées.</w:t>
      </w:r>
    </w:p>
  </w:footnote>
  <w:footnote w:id="21">
    <w:p w14:paraId="35E4BB73" w14:textId="77777777" w:rsidR="00113C0A" w:rsidRPr="00EA678B" w:rsidRDefault="00113C0A" w:rsidP="00E779D1">
      <w:pPr>
        <w:pStyle w:val="Notedebasdepage"/>
        <w:rPr>
          <w:sz w:val="20"/>
          <w:szCs w:val="20"/>
          <w:lang w:val="fr-FR"/>
        </w:rPr>
      </w:pPr>
      <w:r>
        <w:rPr>
          <w:rStyle w:val="Marquenotebasdepage"/>
        </w:rPr>
        <w:footnoteRef/>
      </w:r>
      <w:r>
        <w:t xml:space="preserve"> </w:t>
      </w:r>
      <w:r>
        <w:rPr>
          <w:sz w:val="20"/>
          <w:szCs w:val="20"/>
          <w:lang w:val="fr-FR"/>
        </w:rPr>
        <w:t xml:space="preserve">On sait que, sur cette question, les opinions des analystes progressistes sont  partagées. Certains affirment que les gouvernements de Lula et de Rousseff sont de gauche (Sader, 2012, 2013b, 2014a), d’autres qu’ils ne le sont pas (Almeyra, 2013b ; Gudynas, 2013a et 2013c). Concernant les deux mandats du gouvernement de Lula (2002-2010), Immanuel Wallerstein (2010) fait remarquer avec à propos qu’ils témoignent d’un gouvernement progressiste à partir du moment où on tient compte de la dimension géopolitique. </w:t>
      </w:r>
    </w:p>
  </w:footnote>
  <w:footnote w:id="22">
    <w:p w14:paraId="22F8018C" w14:textId="77777777" w:rsidR="00113C0A" w:rsidRDefault="00113C0A" w:rsidP="005D217B">
      <w:pPr>
        <w:widowControl w:val="0"/>
        <w:autoSpaceDE w:val="0"/>
        <w:autoSpaceDN w:val="0"/>
        <w:adjustRightInd w:val="0"/>
        <w:rPr>
          <w:sz w:val="20"/>
          <w:szCs w:val="20"/>
          <w:lang w:val="fr-FR"/>
        </w:rPr>
      </w:pPr>
      <w:r>
        <w:rPr>
          <w:rStyle w:val="Marquenotebasdepage"/>
        </w:rPr>
        <w:footnoteRef/>
      </w:r>
      <w:r>
        <w:t xml:space="preserve"> </w:t>
      </w:r>
      <w:r>
        <w:rPr>
          <w:sz w:val="20"/>
          <w:szCs w:val="20"/>
          <w:lang w:val="fr-FR"/>
        </w:rPr>
        <w:t>À cet égard, Cary se montre plus sévère que Gret et Sintomer (2002 :131) en leur reprochant de faire une lecture trop optimiste lorsqu’ils affirment que</w:t>
      </w:r>
      <w:r>
        <w:rPr>
          <w:rFonts w:ascii="ÄÑÿÔˇø‚k∆" w:hAnsi="ÄÑÿÔˇø‚k∆" w:cs="ÄÑÿÔˇø‚k∆"/>
          <w:sz w:val="20"/>
          <w:szCs w:val="20"/>
          <w:lang w:val="fr-FR"/>
        </w:rPr>
        <w:t xml:space="preserve"> « la société civile a gardé son indépendance et peut continuer à jouer le rôle de contre-pouvoir » (Gret et Sintomer cités </w:t>
      </w:r>
      <w:r>
        <w:rPr>
          <w:rFonts w:ascii="ÄÑÿÔˇø‚k∆" w:hAnsi="ÄÑÿÔˇø‚k∆" w:cs="ÄÑÿÔˇø‚k∆"/>
          <w:i/>
          <w:sz w:val="20"/>
          <w:szCs w:val="20"/>
          <w:lang w:val="fr-FR"/>
        </w:rPr>
        <w:t xml:space="preserve">in </w:t>
      </w:r>
      <w:r>
        <w:rPr>
          <w:rFonts w:ascii="ÄÑÿÔˇø‚k∆" w:hAnsi="ÄÑÿÔˇø‚k∆" w:cs="ÄÑÿÔˇø‚k∆"/>
          <w:sz w:val="20"/>
          <w:szCs w:val="20"/>
          <w:lang w:val="fr-FR"/>
        </w:rPr>
        <w:t>Cary, 2005 : 224)</w:t>
      </w:r>
      <w:r>
        <w:rPr>
          <w:sz w:val="20"/>
          <w:szCs w:val="20"/>
          <w:lang w:val="fr-FR"/>
        </w:rPr>
        <w:t xml:space="preserve">. </w:t>
      </w:r>
    </w:p>
    <w:p w14:paraId="1F601860" w14:textId="77777777" w:rsidR="00113C0A" w:rsidRPr="00DF0F4F" w:rsidRDefault="00113C0A" w:rsidP="005D217B">
      <w:pPr>
        <w:widowControl w:val="0"/>
        <w:autoSpaceDE w:val="0"/>
        <w:autoSpaceDN w:val="0"/>
        <w:adjustRightInd w:val="0"/>
        <w:rPr>
          <w:rFonts w:ascii="ÄÑÿÔˇø‚k∆" w:hAnsi="ÄÑÿÔˇø‚k∆" w:cs="ÄÑÿÔˇø‚k∆"/>
          <w:sz w:val="20"/>
          <w:szCs w:val="20"/>
          <w:lang w:val="fr-FR"/>
        </w:rPr>
      </w:pPr>
    </w:p>
  </w:footnote>
  <w:footnote w:id="23">
    <w:p w14:paraId="4493DD69" w14:textId="77777777" w:rsidR="00113C0A" w:rsidRDefault="00113C0A" w:rsidP="00E779D1">
      <w:pPr>
        <w:pStyle w:val="Notedebasdepage"/>
        <w:rPr>
          <w:sz w:val="20"/>
          <w:szCs w:val="20"/>
          <w:lang w:val="fr-FR"/>
        </w:rPr>
      </w:pPr>
      <w:r>
        <w:rPr>
          <w:rStyle w:val="Marquenotebasdepage"/>
        </w:rPr>
        <w:footnoteRef/>
      </w:r>
      <w:r>
        <w:t xml:space="preserve"> </w:t>
      </w:r>
      <w:r>
        <w:rPr>
          <w:sz w:val="20"/>
          <w:szCs w:val="20"/>
          <w:lang w:val="fr-FR"/>
        </w:rPr>
        <w:t xml:space="preserve">Il serait intéressant, en prenant en compte les résultats d’autres recherches récentes, de mieux cerner ce que sont devenus les pratiques de BP au Brésil et dans d’autres pays latino-américains depuis le milieu des années 2000. Les écrits de Rocio Annunziata (2014) sur le BP dans les villes de Rosario et de Moron en Argentine permettent de penser que ces expériences favorisent une certaine co-construction démocratique, mais que cette dernière demeure de faible intensité en </w:t>
      </w:r>
      <w:r w:rsidRPr="00E15B0C">
        <w:rPr>
          <w:sz w:val="20"/>
          <w:szCs w:val="20"/>
          <w:lang w:val="fr-FR"/>
        </w:rPr>
        <w:t>ayant prise que sur</w:t>
      </w:r>
      <w:r>
        <w:rPr>
          <w:sz w:val="20"/>
          <w:szCs w:val="20"/>
          <w:lang w:val="fr-FR"/>
        </w:rPr>
        <w:t xml:space="preserve"> une portion congrue du budget municipal.</w:t>
      </w:r>
    </w:p>
    <w:p w14:paraId="77A1EA5F" w14:textId="77777777" w:rsidR="00113C0A" w:rsidRPr="00C355E3" w:rsidRDefault="00113C0A" w:rsidP="00E779D1">
      <w:pPr>
        <w:pStyle w:val="Notedebasdepage"/>
        <w:rPr>
          <w:sz w:val="20"/>
          <w:szCs w:val="20"/>
          <w:lang w:val="fr-FR"/>
        </w:rPr>
      </w:pPr>
    </w:p>
  </w:footnote>
  <w:footnote w:id="24">
    <w:p w14:paraId="19A92790" w14:textId="77777777" w:rsidR="00113C0A" w:rsidRPr="0093120D" w:rsidRDefault="00113C0A">
      <w:pPr>
        <w:pStyle w:val="Notedebasdepage"/>
        <w:rPr>
          <w:sz w:val="20"/>
          <w:szCs w:val="20"/>
        </w:rPr>
      </w:pPr>
      <w:r>
        <w:rPr>
          <w:rStyle w:val="Marquenotebasdepage"/>
        </w:rPr>
        <w:footnoteRef/>
      </w:r>
      <w:r>
        <w:t xml:space="preserve"> </w:t>
      </w:r>
      <w:r>
        <w:rPr>
          <w:sz w:val="20"/>
          <w:szCs w:val="20"/>
        </w:rPr>
        <w:t>Lorsue le PT est arrivé au pouvoir en 1988</w:t>
      </w:r>
      <w:r w:rsidRPr="00490691">
        <w:rPr>
          <w:sz w:val="20"/>
          <w:szCs w:val="20"/>
        </w:rPr>
        <w:t xml:space="preserve"> </w:t>
      </w:r>
      <w:r>
        <w:rPr>
          <w:sz w:val="20"/>
          <w:szCs w:val="20"/>
        </w:rPr>
        <w:t>à</w:t>
      </w:r>
      <w:r w:rsidRPr="00490691">
        <w:rPr>
          <w:sz w:val="20"/>
          <w:szCs w:val="20"/>
        </w:rPr>
        <w:t xml:space="preserve"> Porto Alegre, </w:t>
      </w:r>
      <w:r>
        <w:rPr>
          <w:sz w:val="20"/>
          <w:szCs w:val="20"/>
        </w:rPr>
        <w:t xml:space="preserve">cettte Ville </w:t>
      </w:r>
      <w:r w:rsidRPr="00490691">
        <w:rPr>
          <w:sz w:val="20"/>
          <w:szCs w:val="20"/>
        </w:rPr>
        <w:t>comptait déjà pas moins de 1000 organismes com</w:t>
      </w:r>
      <w:r>
        <w:rPr>
          <w:sz w:val="20"/>
          <w:szCs w:val="20"/>
        </w:rPr>
        <w:t>munautaires. Cette forte présence des organismes communautaires existait aussi dans plusieurs autres municipalités</w:t>
      </w:r>
      <w:r w:rsidRPr="00490691">
        <w:rPr>
          <w:sz w:val="20"/>
          <w:szCs w:val="20"/>
        </w:rPr>
        <w:t xml:space="preserve"> de l’État de RGDS.</w:t>
      </w:r>
    </w:p>
  </w:footnote>
  <w:footnote w:id="25">
    <w:p w14:paraId="095F8C44" w14:textId="77777777" w:rsidR="00113C0A" w:rsidRPr="00B761F4" w:rsidRDefault="00113C0A">
      <w:pPr>
        <w:pStyle w:val="Notedebasdepage"/>
        <w:rPr>
          <w:sz w:val="20"/>
          <w:szCs w:val="20"/>
          <w:lang w:val="fr-FR"/>
        </w:rPr>
      </w:pPr>
      <w:r>
        <w:rPr>
          <w:rStyle w:val="Marquenotebasdepage"/>
        </w:rPr>
        <w:footnoteRef/>
      </w:r>
      <w:r>
        <w:t xml:space="preserve"> </w:t>
      </w:r>
      <w:r>
        <w:rPr>
          <w:sz w:val="20"/>
          <w:szCs w:val="20"/>
          <w:lang w:val="fr-FR"/>
        </w:rPr>
        <w:t>Par exemple, dans un texte récent sur l’ESS et ses défis actuels dans l’ensemble du Brésil, Sarria Icaza (2005 et 2013) fait ressortir avec clarté que l’ESS, en dépit de ses avancées au cours des années 1990 et 2000, aurait besoin d’élargir ses zones d’influence pour avoir un impact démocratisateur plus net dans l’ensemble de la société et de l’économie, puisque le modèle économique dominant demeure développementiste. Autrement dit, en dépit de ses succès tant à Porto Alegre que dans l’État du RGDS et dans l’ensemble du Brésil, l’ESS demeure confinée à un espace résiduel : « sa visibilité [de l’ESS] et son importance ne croissent pas comme on l’espérait et l’économie solidaire se maintient comme une préoccupation secondaire (</w:t>
      </w:r>
      <w:r>
        <w:rPr>
          <w:i/>
          <w:sz w:val="20"/>
          <w:szCs w:val="20"/>
          <w:lang w:val="fr-FR"/>
        </w:rPr>
        <w:t xml:space="preserve">pauta </w:t>
      </w:r>
      <w:r w:rsidRPr="000C55BA">
        <w:rPr>
          <w:i/>
          <w:sz w:val="20"/>
          <w:szCs w:val="20"/>
          <w:lang w:val="fr-FR"/>
        </w:rPr>
        <w:t>segundaria</w:t>
      </w:r>
      <w:r>
        <w:rPr>
          <w:sz w:val="20"/>
          <w:szCs w:val="20"/>
          <w:lang w:val="fr-FR"/>
        </w:rPr>
        <w:t xml:space="preserve">) </w:t>
      </w:r>
      <w:r w:rsidRPr="000C55BA">
        <w:rPr>
          <w:sz w:val="20"/>
          <w:szCs w:val="20"/>
          <w:lang w:val="fr-FR"/>
        </w:rPr>
        <w:t>et</w:t>
      </w:r>
      <w:r>
        <w:rPr>
          <w:sz w:val="20"/>
          <w:szCs w:val="20"/>
          <w:lang w:val="fr-FR"/>
        </w:rPr>
        <w:t xml:space="preserve"> une politique résiduelle, ce qui se présente en grande partie comme une conséquence du concept de développement qui prévaut dans le pays » (Sarria Icaza, 2013). Voir aussi, Sarria Icaza, 2005 : 256-257).</w:t>
      </w:r>
    </w:p>
  </w:footnote>
  <w:footnote w:id="26">
    <w:p w14:paraId="3194D516" w14:textId="77777777" w:rsidR="00113C0A" w:rsidRPr="00013A8C" w:rsidRDefault="00113C0A">
      <w:pPr>
        <w:pStyle w:val="Notedebasdepage"/>
        <w:rPr>
          <w:sz w:val="20"/>
          <w:szCs w:val="20"/>
          <w:lang w:val="fr-FR"/>
        </w:rPr>
      </w:pPr>
      <w:r>
        <w:rPr>
          <w:rStyle w:val="Marquenotebasdepage"/>
        </w:rPr>
        <w:footnoteRef/>
      </w:r>
      <w:r>
        <w:t xml:space="preserve"> </w:t>
      </w:r>
      <w:r>
        <w:rPr>
          <w:sz w:val="20"/>
          <w:szCs w:val="20"/>
          <w:lang w:val="fr-FR"/>
        </w:rPr>
        <w:t xml:space="preserve">Dans cette sous-section du texte, nous nous appuyons sur les résultats d’une recherche que nous menons depuis 2010 sur les transformations en cours sous des gouvernements progressistes au Venezuela, en Bolivie et en Équateur et dont nous espérons rendre compte de manière plus détaillée dans une ou des publications à venir. Mais pour le moment, nous nous contentons de livrer de manière schématique certains de nos constats. </w:t>
      </w:r>
    </w:p>
  </w:footnote>
  <w:footnote w:id="27">
    <w:p w14:paraId="35BF724D" w14:textId="77777777" w:rsidR="00113C0A" w:rsidRDefault="00113C0A">
      <w:pPr>
        <w:pStyle w:val="Notedebasdepage"/>
        <w:rPr>
          <w:sz w:val="20"/>
          <w:szCs w:val="20"/>
          <w:lang w:val="fr-FR"/>
        </w:rPr>
      </w:pPr>
      <w:r>
        <w:rPr>
          <w:rStyle w:val="Marquenotebasdepage"/>
        </w:rPr>
        <w:footnoteRef/>
      </w:r>
      <w:r>
        <w:t xml:space="preserve"> </w:t>
      </w:r>
      <w:r>
        <w:rPr>
          <w:sz w:val="20"/>
          <w:szCs w:val="20"/>
          <w:lang w:val="fr-FR"/>
        </w:rPr>
        <w:t>En faisant référence à la polarisation entre la droite et la gauche au Venezuela, nous pensons à deux moments particuliers, soit à la période du coup d’État manqué contre le gouvernement Chavez en avril 2002 et à la période de déstabilisation qui, sous le gouvernement Maduro, a éclaté en mi-février 2014, s’est prolongée pendant plusieurs semaines et avait déjà fait une trentaine de morts et 600 blessés en avril 2014 (BBC Mundo, 2014 </w:t>
      </w:r>
      <w:r w:rsidRPr="00D73633">
        <w:rPr>
          <w:sz w:val="20"/>
          <w:szCs w:val="20"/>
          <w:lang w:val="fr-FR"/>
        </w:rPr>
        <w:t>; Lemoyne, 2014</w:t>
      </w:r>
      <w:r>
        <w:rPr>
          <w:sz w:val="20"/>
          <w:szCs w:val="20"/>
          <w:lang w:val="fr-FR"/>
        </w:rPr>
        <w:t>).</w:t>
      </w:r>
    </w:p>
    <w:p w14:paraId="0C90CE7D" w14:textId="77777777" w:rsidR="00113C0A" w:rsidRPr="00DB488D" w:rsidRDefault="00113C0A">
      <w:pPr>
        <w:pStyle w:val="Notedebasdepage"/>
        <w:rPr>
          <w:sz w:val="20"/>
          <w:szCs w:val="20"/>
          <w:lang w:val="fr-FR"/>
        </w:rPr>
      </w:pPr>
      <w:r>
        <w:rPr>
          <w:sz w:val="20"/>
          <w:szCs w:val="20"/>
          <w:lang w:val="fr-FR"/>
        </w:rPr>
        <w:t xml:space="preserve"> </w:t>
      </w:r>
    </w:p>
  </w:footnote>
  <w:footnote w:id="28">
    <w:p w14:paraId="2A4E5512" w14:textId="77777777" w:rsidR="00113C0A" w:rsidRPr="00170337" w:rsidRDefault="00113C0A">
      <w:pPr>
        <w:pStyle w:val="Notedebasdepage"/>
        <w:rPr>
          <w:sz w:val="20"/>
          <w:szCs w:val="20"/>
          <w:lang w:val="fr-FR"/>
        </w:rPr>
      </w:pPr>
      <w:r>
        <w:rPr>
          <w:rStyle w:val="Marquenotebasdepage"/>
        </w:rPr>
        <w:footnoteRef/>
      </w:r>
      <w:r>
        <w:t xml:space="preserve"> </w:t>
      </w:r>
      <w:r>
        <w:rPr>
          <w:sz w:val="20"/>
          <w:szCs w:val="20"/>
          <w:lang w:val="fr-FR"/>
        </w:rPr>
        <w:t>Par exemple, Petras reproche à Morales de ne pas avoir nationalisé 70 entreprises privées nationales et multinationales qui interviennent dans le domaine des hydrocarbures.</w:t>
      </w:r>
    </w:p>
  </w:footnote>
  <w:footnote w:id="29">
    <w:p w14:paraId="1A226E34" w14:textId="77777777" w:rsidR="00113C0A" w:rsidRPr="00856524" w:rsidRDefault="00113C0A">
      <w:pPr>
        <w:pStyle w:val="Notedebasdepage"/>
        <w:rPr>
          <w:sz w:val="20"/>
          <w:szCs w:val="20"/>
          <w:lang w:val="fr-FR"/>
        </w:rPr>
      </w:pPr>
      <w:r>
        <w:rPr>
          <w:rStyle w:val="Marquenotebasdepage"/>
        </w:rPr>
        <w:footnoteRef/>
      </w:r>
      <w:r>
        <w:t xml:space="preserve"> </w:t>
      </w:r>
      <w:r>
        <w:rPr>
          <w:sz w:val="20"/>
          <w:szCs w:val="20"/>
          <w:lang w:val="fr-FR"/>
        </w:rPr>
        <w:t xml:space="preserve">La revue </w:t>
      </w:r>
      <w:r w:rsidRPr="00B0792C">
        <w:rPr>
          <w:i/>
          <w:sz w:val="20"/>
          <w:szCs w:val="20"/>
          <w:lang w:val="fr-FR"/>
        </w:rPr>
        <w:t>Opción</w:t>
      </w:r>
      <w:r>
        <w:rPr>
          <w:i/>
          <w:sz w:val="20"/>
          <w:szCs w:val="20"/>
          <w:lang w:val="fr-FR"/>
        </w:rPr>
        <w:t xml:space="preserve"> Socialista</w:t>
      </w:r>
      <w:r>
        <w:rPr>
          <w:sz w:val="20"/>
          <w:szCs w:val="20"/>
          <w:lang w:val="fr-FR"/>
        </w:rPr>
        <w:t xml:space="preserve"> est publié par le </w:t>
      </w:r>
      <w:r w:rsidRPr="00856524">
        <w:rPr>
          <w:sz w:val="20"/>
          <w:szCs w:val="20"/>
        </w:rPr>
        <w:t>Partido Socialista - Frente Amplio</w:t>
      </w:r>
      <w:r>
        <w:rPr>
          <w:sz w:val="20"/>
          <w:szCs w:val="20"/>
        </w:rPr>
        <w:t xml:space="preserve"> (PS – FA) fondé en 1995 en Équateur. Présentement, le PS – FA comprend deux tendances principales. L’une appuie </w:t>
      </w:r>
      <w:r>
        <w:rPr>
          <w:i/>
          <w:sz w:val="20"/>
          <w:szCs w:val="20"/>
        </w:rPr>
        <w:t xml:space="preserve">Alianza </w:t>
      </w:r>
      <w:r w:rsidRPr="00B0792C">
        <w:rPr>
          <w:i/>
          <w:sz w:val="20"/>
          <w:szCs w:val="20"/>
        </w:rPr>
        <w:t>País</w:t>
      </w:r>
      <w:r>
        <w:rPr>
          <w:i/>
          <w:sz w:val="20"/>
          <w:szCs w:val="20"/>
        </w:rPr>
        <w:t xml:space="preserve"> </w:t>
      </w:r>
      <w:r>
        <w:rPr>
          <w:sz w:val="20"/>
          <w:szCs w:val="20"/>
        </w:rPr>
        <w:t xml:space="preserve">et le gouvernement de Rafael Correa. L’autre critique sévèrement le gouvernement de Correa. Le numéro spécial de la revue </w:t>
      </w:r>
      <w:r w:rsidRPr="00B0792C">
        <w:rPr>
          <w:i/>
          <w:sz w:val="20"/>
          <w:szCs w:val="20"/>
        </w:rPr>
        <w:t>Opción</w:t>
      </w:r>
      <w:r>
        <w:rPr>
          <w:i/>
          <w:sz w:val="20"/>
          <w:szCs w:val="20"/>
        </w:rPr>
        <w:t xml:space="preserve"> Socialista</w:t>
      </w:r>
      <w:r>
        <w:rPr>
          <w:sz w:val="20"/>
          <w:szCs w:val="20"/>
        </w:rPr>
        <w:t xml:space="preserve"> que nous commentons provient de cette deuxième tendance.  </w:t>
      </w:r>
    </w:p>
  </w:footnote>
  <w:footnote w:id="30">
    <w:p w14:paraId="35EA927D" w14:textId="77777777" w:rsidR="00113C0A" w:rsidRPr="00FD55F8" w:rsidRDefault="00113C0A">
      <w:pPr>
        <w:pStyle w:val="Notedebasdepage"/>
        <w:rPr>
          <w:sz w:val="20"/>
          <w:szCs w:val="20"/>
          <w:lang w:val="fr-FR"/>
        </w:rPr>
      </w:pPr>
      <w:r>
        <w:rPr>
          <w:rStyle w:val="Marquenotebasdepage"/>
        </w:rPr>
        <w:footnoteRef/>
      </w:r>
      <w:r>
        <w:t xml:space="preserve"> </w:t>
      </w:r>
      <w:r>
        <w:rPr>
          <w:sz w:val="20"/>
          <w:szCs w:val="20"/>
          <w:lang w:val="fr-FR"/>
        </w:rPr>
        <w:t>Nous comprenons ici que l’Assemblée constituante, en Bolivie, était distincte du Congrès ou de l’Assemblée législative. Cette dernière comprend deux chambres, une chambre haute (le Sénat) et une chambre basse (l’assemblée des députés). Depuis 2009, le Congrès s’appelle Assemblée législative plurinationale.</w:t>
      </w:r>
    </w:p>
  </w:footnote>
  <w:footnote w:id="31">
    <w:p w14:paraId="030297D6" w14:textId="77777777" w:rsidR="00113C0A" w:rsidRPr="00A542A0" w:rsidRDefault="00113C0A">
      <w:pPr>
        <w:pStyle w:val="Notedebasdepage"/>
        <w:rPr>
          <w:sz w:val="20"/>
          <w:szCs w:val="20"/>
          <w:lang w:val="fr-FR"/>
        </w:rPr>
      </w:pPr>
      <w:r>
        <w:rPr>
          <w:rStyle w:val="Marquenotebasdepage"/>
        </w:rPr>
        <w:footnoteRef/>
      </w:r>
      <w:r>
        <w:t xml:space="preserve"> </w:t>
      </w:r>
      <w:r>
        <w:rPr>
          <w:sz w:val="20"/>
          <w:szCs w:val="20"/>
          <w:lang w:val="fr-FR"/>
        </w:rPr>
        <w:t>En Équateur, le Congrès ou le pouvoir législatif renvoie à une chambre, l’Assemblée nationale. Celle-ci est composée de 130 députés.</w:t>
      </w:r>
    </w:p>
  </w:footnote>
  <w:footnote w:id="32">
    <w:p w14:paraId="158798BA" w14:textId="77777777" w:rsidR="00113C0A" w:rsidRPr="0085623A" w:rsidRDefault="00113C0A">
      <w:pPr>
        <w:pStyle w:val="Notedebasdepage"/>
        <w:rPr>
          <w:lang w:val="fr-FR"/>
        </w:rPr>
      </w:pPr>
      <w:r>
        <w:rPr>
          <w:rStyle w:val="Marquenotebasdepage"/>
        </w:rPr>
        <w:footnoteRef/>
      </w:r>
      <w:r>
        <w:t xml:space="preserve"> </w:t>
      </w:r>
      <w:r w:rsidRPr="0085623A">
        <w:rPr>
          <w:sz w:val="20"/>
          <w:szCs w:val="20"/>
          <w:lang w:val="fr-FR"/>
        </w:rPr>
        <w:t>Les</w:t>
      </w:r>
      <w:r>
        <w:rPr>
          <w:sz w:val="20"/>
          <w:szCs w:val="20"/>
          <w:lang w:val="fr-FR"/>
        </w:rPr>
        <w:t xml:space="preserve"> premiers mois du gouvernement Correa en 2007 furent marqués par des affrontements constants entre la Présidence et le Congrès, dominé par des députés de droite et enclin à utiliser tous les recours politiques et juridiques pour bloquer la démarche constituante. En mars 2007, 57 députés ont été destitués par le Tribunal suprême, ce qui témoigne des tensions qui existaient entre le politique et le juridique</w:t>
      </w:r>
      <w:r>
        <w:rPr>
          <w:lang w:val="fr-FR"/>
        </w:rPr>
        <w:t xml:space="preserve">.  </w:t>
      </w:r>
    </w:p>
  </w:footnote>
  <w:footnote w:id="33">
    <w:p w14:paraId="0DFAE2F4" w14:textId="77777777" w:rsidR="00113C0A" w:rsidRPr="00B92A5F" w:rsidRDefault="00113C0A">
      <w:pPr>
        <w:pStyle w:val="Notedebasdepage"/>
        <w:rPr>
          <w:lang w:val="fr-FR"/>
        </w:rPr>
      </w:pPr>
      <w:r>
        <w:rPr>
          <w:rStyle w:val="Marquenotebasdepage"/>
        </w:rPr>
        <w:footnoteRef/>
      </w:r>
      <w:r>
        <w:t xml:space="preserve"> </w:t>
      </w:r>
      <w:r w:rsidRPr="00EE6D75">
        <w:rPr>
          <w:sz w:val="20"/>
          <w:szCs w:val="20"/>
          <w:lang w:val="fr-FR"/>
        </w:rPr>
        <w:t xml:space="preserve">Le </w:t>
      </w:r>
      <w:r>
        <w:rPr>
          <w:sz w:val="20"/>
          <w:szCs w:val="20"/>
          <w:lang w:val="fr-FR"/>
        </w:rPr>
        <w:t xml:space="preserve">mot extractivisme est fréquemment utilisé dans la région de l’ALC, présentement, pour désigner des activités ou politiques économiques axées sur l’extraction des resources naturelles, notamment des hydrocarbures et des métaux. C’est ainsi qu’il est question d’extractivisme, de non-extractivisme et de néo-extractivisme dans les débats et les écrits touchant les politiques publiques. Le fait de qualifier une politique d’extractiviste lui confère souvent une connotation péjorative en suggérant que l’extraction des ressources se fait au détriment de la qualité de vie des communautés locales concernées et va à l’encontre des droits de la nature reconnus dans les nouvelles constitutions de la Bolivie et de l’Équateur. </w:t>
      </w:r>
    </w:p>
  </w:footnote>
  <w:footnote w:id="34">
    <w:p w14:paraId="6CE16AC7" w14:textId="77777777" w:rsidR="00113C0A" w:rsidRPr="00AF7065" w:rsidRDefault="00113C0A">
      <w:pPr>
        <w:pStyle w:val="Notedebasdepage"/>
        <w:rPr>
          <w:sz w:val="20"/>
          <w:szCs w:val="20"/>
          <w:lang w:val="fr-FR"/>
        </w:rPr>
      </w:pPr>
      <w:r>
        <w:rPr>
          <w:rStyle w:val="Marquenotebasdepage"/>
        </w:rPr>
        <w:footnoteRef/>
      </w:r>
      <w:r>
        <w:t xml:space="preserve"> </w:t>
      </w:r>
      <w:r>
        <w:rPr>
          <w:sz w:val="20"/>
          <w:szCs w:val="20"/>
          <w:lang w:val="fr-FR"/>
        </w:rPr>
        <w:t xml:space="preserve">En fait, ces problèmes liés aux impacts sociaux et environnementaux de certains projets de développement des ressources naturelles, particulièrement non renouvelables (gaz, pétrole, mines à ciel ouvert etc.), existent dans la majorité des pays de l’ALC, mais prennent une forme particulière dans les pays dirigés par des gouvernements progressistes. En effet, dans ces contextes où la gauche est au gouvernement, on la retrouve déchirée, notamment à l’intérieur de la société civile et des mouvements sociaux, concernant les choix de politiques publiques à faire. </w:t>
      </w:r>
    </w:p>
  </w:footnote>
  <w:footnote w:id="35">
    <w:p w14:paraId="1ECA40B7" w14:textId="77777777" w:rsidR="00113C0A" w:rsidRPr="004D2841" w:rsidRDefault="00113C0A">
      <w:pPr>
        <w:pStyle w:val="Notedebasdepage"/>
        <w:rPr>
          <w:sz w:val="20"/>
          <w:szCs w:val="20"/>
          <w:lang w:val="fr-FR"/>
        </w:rPr>
      </w:pPr>
      <w:r>
        <w:rPr>
          <w:rStyle w:val="Marquenotebasdepage"/>
        </w:rPr>
        <w:footnoteRef/>
      </w:r>
      <w:r>
        <w:t xml:space="preserve"> </w:t>
      </w:r>
      <w:r>
        <w:rPr>
          <w:sz w:val="20"/>
          <w:szCs w:val="20"/>
          <w:lang w:val="fr-FR"/>
        </w:rPr>
        <w:t xml:space="preserve">Rappelons que le président Morales est souvent perçu à l’extérieur de son pays comme étant l’incarnation même de la </w:t>
      </w:r>
      <w:r w:rsidRPr="004D2841">
        <w:rPr>
          <w:i/>
          <w:sz w:val="20"/>
          <w:szCs w:val="20"/>
          <w:lang w:val="fr-FR"/>
        </w:rPr>
        <w:t>Pachamama</w:t>
      </w:r>
      <w:r>
        <w:rPr>
          <w:sz w:val="20"/>
          <w:szCs w:val="20"/>
          <w:lang w:val="fr-FR"/>
        </w:rPr>
        <w:t xml:space="preserve">, la Terre-Mère vue par les peuples indigènes comme une entité vivante et sacrée (Saint-Upéry, 2011). </w:t>
      </w:r>
    </w:p>
  </w:footnote>
  <w:footnote w:id="36">
    <w:p w14:paraId="50218006" w14:textId="77777777" w:rsidR="00113C0A" w:rsidRPr="006D4160" w:rsidRDefault="00113C0A">
      <w:pPr>
        <w:pStyle w:val="Notedebasdepage"/>
        <w:rPr>
          <w:sz w:val="20"/>
          <w:szCs w:val="20"/>
          <w:lang w:val="fr-FR"/>
        </w:rPr>
      </w:pPr>
      <w:r>
        <w:rPr>
          <w:rStyle w:val="Marquenotebasdepage"/>
        </w:rPr>
        <w:footnoteRef/>
      </w:r>
      <w:r>
        <w:t xml:space="preserve"> </w:t>
      </w:r>
      <w:r>
        <w:rPr>
          <w:sz w:val="20"/>
          <w:szCs w:val="20"/>
          <w:lang w:val="fr-FR"/>
        </w:rPr>
        <w:t xml:space="preserve">Par exemple, il y a des conflits internes dans 7 des 9 fédérations paysannes (Smink, 2014). </w:t>
      </w:r>
    </w:p>
  </w:footnote>
  <w:footnote w:id="37">
    <w:p w14:paraId="30395453" w14:textId="77777777" w:rsidR="00113C0A" w:rsidRPr="00DC706E" w:rsidRDefault="00113C0A">
      <w:pPr>
        <w:pStyle w:val="Notedebasdepage"/>
        <w:rPr>
          <w:sz w:val="20"/>
          <w:szCs w:val="20"/>
          <w:lang w:val="fr-FR"/>
        </w:rPr>
      </w:pPr>
      <w:r>
        <w:rPr>
          <w:rStyle w:val="Marquenotebasdepage"/>
        </w:rPr>
        <w:footnoteRef/>
      </w:r>
      <w:r>
        <w:t xml:space="preserve"> </w:t>
      </w:r>
      <w:r>
        <w:rPr>
          <w:sz w:val="20"/>
          <w:szCs w:val="20"/>
          <w:lang w:val="fr-FR"/>
        </w:rPr>
        <w:t>ITT pour Indicateur Temps-Température.</w:t>
      </w:r>
    </w:p>
  </w:footnote>
  <w:footnote w:id="38">
    <w:p w14:paraId="2264CE71" w14:textId="77777777" w:rsidR="00113C0A" w:rsidRPr="00CF3070" w:rsidRDefault="00113C0A">
      <w:pPr>
        <w:pStyle w:val="Notedebasdepage"/>
        <w:rPr>
          <w:sz w:val="20"/>
          <w:szCs w:val="20"/>
          <w:lang w:val="fr-FR"/>
        </w:rPr>
      </w:pPr>
      <w:r>
        <w:rPr>
          <w:rStyle w:val="Marquenotebasdepage"/>
        </w:rPr>
        <w:footnoteRef/>
      </w:r>
      <w:r>
        <w:t xml:space="preserve"> </w:t>
      </w:r>
      <w:r>
        <w:rPr>
          <w:sz w:val="20"/>
          <w:szCs w:val="20"/>
          <w:lang w:val="fr-FR"/>
        </w:rPr>
        <w:t xml:space="preserve">Au premier tour des élections de février 2013, Alberto Acosta, candidat d’une coalition de gauche, a obtenu 3,3% des voix, tandis que Rafael Correa en a obtenu 56,7% (Hoy, 23 février 2012). </w:t>
      </w:r>
    </w:p>
  </w:footnote>
  <w:footnote w:id="39">
    <w:p w14:paraId="10509A2C" w14:textId="77777777" w:rsidR="00113C0A" w:rsidRDefault="00113C0A">
      <w:pPr>
        <w:pStyle w:val="Notedebasdepage"/>
        <w:rPr>
          <w:sz w:val="20"/>
          <w:szCs w:val="20"/>
          <w:lang w:val="fr-FR"/>
        </w:rPr>
      </w:pPr>
      <w:r>
        <w:rPr>
          <w:rStyle w:val="Marquenotebasdepage"/>
        </w:rPr>
        <w:footnoteRef/>
      </w:r>
      <w:r>
        <w:t xml:space="preserve"> </w:t>
      </w:r>
      <w:r>
        <w:rPr>
          <w:sz w:val="20"/>
          <w:szCs w:val="20"/>
          <w:lang w:val="fr-FR"/>
        </w:rPr>
        <w:t xml:space="preserve">La CONAIE et le parti PACHAKUTIK avaient appuyé Correa aux élections de 2006, mais s’en sont distancé à </w:t>
      </w:r>
      <w:r w:rsidRPr="006347FA">
        <w:rPr>
          <w:sz w:val="20"/>
          <w:szCs w:val="20"/>
          <w:lang w:val="fr-FR"/>
        </w:rPr>
        <w:t>partir de celles de 2009</w:t>
      </w:r>
      <w:r w:rsidRPr="00D54842">
        <w:rPr>
          <w:sz w:val="20"/>
          <w:szCs w:val="20"/>
          <w:highlight w:val="yellow"/>
          <w:lang w:val="fr-FR"/>
        </w:rPr>
        <w:t>.</w:t>
      </w:r>
      <w:r>
        <w:rPr>
          <w:sz w:val="20"/>
          <w:szCs w:val="20"/>
          <w:lang w:val="fr-FR"/>
        </w:rPr>
        <w:t xml:space="preserve"> </w:t>
      </w:r>
    </w:p>
    <w:p w14:paraId="7F374AA5" w14:textId="77777777" w:rsidR="00113C0A" w:rsidRPr="004A43DB" w:rsidRDefault="00113C0A">
      <w:pPr>
        <w:pStyle w:val="Notedebasdepage"/>
        <w:rPr>
          <w:sz w:val="20"/>
          <w:szCs w:val="20"/>
          <w:lang w:val="fr-FR"/>
        </w:rPr>
      </w:pPr>
    </w:p>
  </w:footnote>
  <w:footnote w:id="40">
    <w:p w14:paraId="073792C8" w14:textId="77777777" w:rsidR="00113C0A" w:rsidRPr="008130E8" w:rsidRDefault="00113C0A">
      <w:pPr>
        <w:pStyle w:val="Notedebasdepage"/>
        <w:rPr>
          <w:lang w:val="fr-FR"/>
        </w:rPr>
      </w:pPr>
      <w:r>
        <w:rPr>
          <w:rStyle w:val="Marquenotebasdepage"/>
        </w:rPr>
        <w:footnoteRef/>
      </w:r>
      <w:r>
        <w:t xml:space="preserve"> </w:t>
      </w:r>
      <w:r w:rsidRPr="008130E8">
        <w:rPr>
          <w:sz w:val="20"/>
          <w:szCs w:val="20"/>
          <w:lang w:val="fr-FR"/>
        </w:rPr>
        <w:t>Par exemple</w:t>
      </w:r>
      <w:r>
        <w:rPr>
          <w:sz w:val="20"/>
          <w:szCs w:val="20"/>
          <w:lang w:val="fr-FR"/>
        </w:rPr>
        <w:t xml:space="preserve">, </w:t>
      </w:r>
      <w:r w:rsidRPr="008130E8">
        <w:rPr>
          <w:sz w:val="20"/>
          <w:szCs w:val="20"/>
        </w:rPr>
        <w:t>la résistance à des projets de mines à ciel ouvert impulsés par le gouvernement de C</w:t>
      </w:r>
      <w:r>
        <w:rPr>
          <w:sz w:val="20"/>
          <w:szCs w:val="20"/>
        </w:rPr>
        <w:t>orrea et financés par des capitaux c</w:t>
      </w:r>
      <w:r w:rsidRPr="008130E8">
        <w:rPr>
          <w:sz w:val="20"/>
          <w:szCs w:val="20"/>
        </w:rPr>
        <w:t>hinois depuis 2012</w:t>
      </w:r>
      <w:r>
        <w:rPr>
          <w:sz w:val="20"/>
          <w:szCs w:val="20"/>
        </w:rPr>
        <w:t xml:space="preserve"> (Acosta et Machado, 2012)</w:t>
      </w:r>
      <w:r w:rsidRPr="008130E8">
        <w:rPr>
          <w:sz w:val="20"/>
          <w:szCs w:val="20"/>
        </w:rPr>
        <w:t>.</w:t>
      </w:r>
    </w:p>
  </w:footnote>
  <w:footnote w:id="41">
    <w:p w14:paraId="7A06B96D" w14:textId="77777777" w:rsidR="00113C0A" w:rsidRPr="004A5434" w:rsidRDefault="00113C0A">
      <w:pPr>
        <w:pStyle w:val="Notedebasdepage"/>
        <w:rPr>
          <w:sz w:val="20"/>
          <w:szCs w:val="20"/>
          <w:lang w:val="fr-FR"/>
        </w:rPr>
      </w:pPr>
      <w:r>
        <w:rPr>
          <w:rStyle w:val="Marquenotebasdepage"/>
        </w:rPr>
        <w:footnoteRef/>
      </w:r>
      <w:r>
        <w:t xml:space="preserve"> </w:t>
      </w:r>
      <w:r>
        <w:rPr>
          <w:sz w:val="20"/>
          <w:szCs w:val="20"/>
          <w:lang w:val="fr-FR"/>
        </w:rPr>
        <w:t>Par exemple, les politiques publiques concernant les droits de la personne, les communications, les universités, etc.</w:t>
      </w:r>
    </w:p>
  </w:footnote>
  <w:footnote w:id="42">
    <w:p w14:paraId="6F048255" w14:textId="77777777" w:rsidR="00113C0A" w:rsidRPr="00445AB5" w:rsidRDefault="00113C0A">
      <w:pPr>
        <w:pStyle w:val="Notedebasdepage"/>
        <w:rPr>
          <w:sz w:val="20"/>
          <w:szCs w:val="20"/>
          <w:lang w:val="fr-FR"/>
        </w:rPr>
      </w:pPr>
      <w:r>
        <w:rPr>
          <w:rStyle w:val="Marquenotebasdepage"/>
        </w:rPr>
        <w:footnoteRef/>
      </w:r>
      <w:r>
        <w:t xml:space="preserve"> </w:t>
      </w:r>
      <w:r>
        <w:rPr>
          <w:sz w:val="20"/>
          <w:szCs w:val="20"/>
          <w:lang w:val="fr-FR"/>
        </w:rPr>
        <w:t>Nous comptons pousser plus en profondeur la réflexion sur ces points dans des écrits à venir.</w:t>
      </w:r>
    </w:p>
  </w:footnote>
  <w:footnote w:id="43">
    <w:p w14:paraId="1B08DAE9" w14:textId="77777777" w:rsidR="00113C0A" w:rsidRPr="00F5285B" w:rsidRDefault="00113C0A">
      <w:pPr>
        <w:pStyle w:val="Notedebasdepage"/>
        <w:rPr>
          <w:sz w:val="20"/>
          <w:szCs w:val="20"/>
          <w:lang w:val="fr-FR"/>
        </w:rPr>
      </w:pPr>
      <w:r>
        <w:rPr>
          <w:rStyle w:val="Marquenotebasdepage"/>
        </w:rPr>
        <w:footnoteRef/>
      </w:r>
      <w:r>
        <w:t xml:space="preserve"> </w:t>
      </w:r>
      <w:r>
        <w:rPr>
          <w:sz w:val="20"/>
          <w:szCs w:val="20"/>
          <w:lang w:val="fr-FR"/>
        </w:rPr>
        <w:t>Voir le point 10 de notre section I sur les conflits dans la co-construction démocratique.</w:t>
      </w:r>
    </w:p>
  </w:footnote>
  <w:footnote w:id="44">
    <w:p w14:paraId="3DC2E301" w14:textId="77777777" w:rsidR="00113C0A" w:rsidRPr="008E70A7" w:rsidRDefault="00113C0A">
      <w:pPr>
        <w:pStyle w:val="Notedebasdepage"/>
        <w:rPr>
          <w:sz w:val="20"/>
          <w:szCs w:val="20"/>
          <w:lang w:val="fr-FR"/>
        </w:rPr>
      </w:pPr>
      <w:r>
        <w:rPr>
          <w:rStyle w:val="Marquenotebasdepage"/>
        </w:rPr>
        <w:footnoteRef/>
      </w:r>
      <w:r>
        <w:t xml:space="preserve"> </w:t>
      </w:r>
      <w:r>
        <w:rPr>
          <w:sz w:val="20"/>
          <w:szCs w:val="20"/>
          <w:lang w:val="fr-FR"/>
        </w:rPr>
        <w:t xml:space="preserve">Voir la sous-section 4.1. </w:t>
      </w:r>
    </w:p>
  </w:footnote>
  <w:footnote w:id="45">
    <w:p w14:paraId="788B6657" w14:textId="77777777" w:rsidR="00113C0A" w:rsidRPr="00103B90" w:rsidRDefault="00113C0A" w:rsidP="00425846">
      <w:pPr>
        <w:pStyle w:val="Notedebasdepage"/>
        <w:tabs>
          <w:tab w:val="left" w:pos="5387"/>
        </w:tabs>
        <w:rPr>
          <w:lang w:val="fr-FR"/>
        </w:rPr>
      </w:pPr>
      <w:r>
        <w:rPr>
          <w:rStyle w:val="Marquenotebasdepage"/>
        </w:rPr>
        <w:footnoteRef/>
      </w:r>
      <w:r>
        <w:t xml:space="preserve"> </w:t>
      </w:r>
      <w:r>
        <w:rPr>
          <w:sz w:val="20"/>
          <w:szCs w:val="20"/>
        </w:rPr>
        <w:t>À l’occasion du 20</w:t>
      </w:r>
      <w:r w:rsidRPr="00103B90">
        <w:rPr>
          <w:sz w:val="20"/>
          <w:szCs w:val="20"/>
          <w:vertAlign w:val="superscript"/>
        </w:rPr>
        <w:t>e</w:t>
      </w:r>
      <w:r>
        <w:rPr>
          <w:sz w:val="20"/>
          <w:szCs w:val="20"/>
        </w:rPr>
        <w:t xml:space="preserve"> anniversaire du soulèvement des Zapatistes au Mexique, plusieurs articles ont </w:t>
      </w:r>
      <w:r w:rsidRPr="00620D65">
        <w:rPr>
          <w:sz w:val="20"/>
          <w:szCs w:val="20"/>
        </w:rPr>
        <w:t>été</w:t>
      </w:r>
      <w:r>
        <w:rPr>
          <w:sz w:val="20"/>
          <w:szCs w:val="20"/>
        </w:rPr>
        <w:t xml:space="preserve"> publié par une gauche pluraliste. Certains exprimaient un appui inconditionnel :Gilberto </w:t>
      </w:r>
      <w:r w:rsidRPr="0032341F">
        <w:rPr>
          <w:sz w:val="20"/>
          <w:szCs w:val="20"/>
        </w:rPr>
        <w:t>López</w:t>
      </w:r>
      <w:r>
        <w:rPr>
          <w:sz w:val="20"/>
          <w:szCs w:val="20"/>
        </w:rPr>
        <w:t xml:space="preserve"> y Rivas (</w:t>
      </w:r>
      <w:r w:rsidRPr="00103B90">
        <w:rPr>
          <w:sz w:val="20"/>
          <w:szCs w:val="20"/>
        </w:rPr>
        <w:t>2014); Ackerman (2014a); Roitman Ro</w:t>
      </w:r>
      <w:r>
        <w:rPr>
          <w:sz w:val="20"/>
          <w:szCs w:val="20"/>
        </w:rPr>
        <w:t>senmann (2014);</w:t>
      </w:r>
      <w:r w:rsidRPr="00103B90">
        <w:rPr>
          <w:sz w:val="20"/>
          <w:szCs w:val="20"/>
        </w:rPr>
        <w:t xml:space="preserve"> Massimo M</w:t>
      </w:r>
      <w:r>
        <w:rPr>
          <w:sz w:val="20"/>
          <w:szCs w:val="20"/>
        </w:rPr>
        <w:t>odonesi (2014); Alejandro Nadal (2014)</w:t>
      </w:r>
      <w:r w:rsidRPr="00103B90">
        <w:rPr>
          <w:sz w:val="20"/>
          <w:szCs w:val="20"/>
        </w:rPr>
        <w:t>.</w:t>
      </w:r>
      <w:r>
        <w:rPr>
          <w:sz w:val="20"/>
          <w:szCs w:val="20"/>
        </w:rPr>
        <w:t xml:space="preserve"> D’autres manifestaient de la sympathie, tout en se réservant le droit de formuler certaines </w:t>
      </w:r>
      <w:r w:rsidRPr="00620D65">
        <w:rPr>
          <w:b/>
          <w:sz w:val="20"/>
          <w:szCs w:val="20"/>
        </w:rPr>
        <w:t>critiques</w:t>
      </w:r>
      <w:r>
        <w:rPr>
          <w:sz w:val="20"/>
          <w:szCs w:val="20"/>
        </w:rPr>
        <w:t xml:space="preserve">, notamment à l’égard de la position abstentioniste des Zapatistes lors des élections nationales de 2006 et de 2012. Cette position abstentéiste divisait les </w:t>
      </w:r>
      <w:r w:rsidRPr="00620D65">
        <w:rPr>
          <w:sz w:val="20"/>
          <w:szCs w:val="20"/>
        </w:rPr>
        <w:t>progressistes sur la</w:t>
      </w:r>
      <w:r w:rsidRPr="003D1A12">
        <w:rPr>
          <w:sz w:val="20"/>
          <w:szCs w:val="20"/>
        </w:rPr>
        <w:t xml:space="preserve"> pertinence</w:t>
      </w:r>
      <w:r>
        <w:rPr>
          <w:sz w:val="20"/>
          <w:szCs w:val="20"/>
        </w:rPr>
        <w:t xml:space="preserve"> d’appuyer ou pas le Parti de la révolution démocratique (PRD) et son candidat, AMLO </w:t>
      </w:r>
      <w:r w:rsidRPr="00620D65">
        <w:rPr>
          <w:sz w:val="20"/>
          <w:szCs w:val="20"/>
        </w:rPr>
        <w:t>(Andres Manuel Lopez Lobrador)</w:t>
      </w:r>
      <w:r>
        <w:rPr>
          <w:sz w:val="20"/>
          <w:szCs w:val="20"/>
        </w:rPr>
        <w:t xml:space="preserve">, aux élections présidentielles de 2006 et de la nouvelle formation politique de gauche </w:t>
      </w:r>
      <w:r w:rsidRPr="00E570CB">
        <w:rPr>
          <w:i/>
          <w:sz w:val="20"/>
          <w:szCs w:val="20"/>
        </w:rPr>
        <w:t xml:space="preserve">Morena </w:t>
      </w:r>
      <w:r w:rsidRPr="00620D65">
        <w:rPr>
          <w:sz w:val="20"/>
          <w:szCs w:val="20"/>
        </w:rPr>
        <w:t>aux</w:t>
      </w:r>
      <w:r>
        <w:rPr>
          <w:sz w:val="20"/>
          <w:szCs w:val="20"/>
        </w:rPr>
        <w:t xml:space="preserve"> élections de 2012 (Almeyra, 2013a; Proiettis, 2014; </w:t>
      </w:r>
      <w:r w:rsidRPr="0032341F">
        <w:rPr>
          <w:sz w:val="20"/>
          <w:szCs w:val="20"/>
        </w:rPr>
        <w:t>Hernández</w:t>
      </w:r>
      <w:r>
        <w:rPr>
          <w:sz w:val="20"/>
          <w:szCs w:val="20"/>
        </w:rPr>
        <w:t xml:space="preserve"> Navarro, 2014).</w:t>
      </w:r>
    </w:p>
    <w:p w14:paraId="16E214AA" w14:textId="77777777" w:rsidR="00113C0A" w:rsidRPr="00394A1F" w:rsidRDefault="00113C0A" w:rsidP="00425846">
      <w:pPr>
        <w:pStyle w:val="Notedebasdepage"/>
        <w:rPr>
          <w:lang w:val="fr-FR"/>
        </w:rPr>
      </w:pPr>
    </w:p>
  </w:footnote>
  <w:footnote w:id="46">
    <w:p w14:paraId="7A3F7760" w14:textId="77777777" w:rsidR="00113C0A" w:rsidRPr="0086189E" w:rsidRDefault="00113C0A" w:rsidP="00425846">
      <w:pPr>
        <w:pStyle w:val="Notedebasdepage"/>
        <w:rPr>
          <w:sz w:val="20"/>
          <w:szCs w:val="20"/>
          <w:lang w:val="fr-FR"/>
        </w:rPr>
      </w:pPr>
      <w:r>
        <w:rPr>
          <w:rStyle w:val="Marquenotebasdepage"/>
        </w:rPr>
        <w:footnoteRef/>
      </w:r>
      <w:r>
        <w:t xml:space="preserve"> </w:t>
      </w:r>
      <w:r>
        <w:rPr>
          <w:sz w:val="20"/>
          <w:szCs w:val="20"/>
          <w:lang w:val="fr-FR"/>
        </w:rPr>
        <w:t>En entrevue, Frank Gaudichaud (Relations, 2012 :19) fait référence à une remarque de Zibechi concernant les limites des démarches d’assemblée constituante souvent louangées par la gauche latino-américaine. En cohérence avec son cadre d’analyse qui fait d’abord confiance aux transformations issues de la société civile et pas à celles issues de la démocratie représentative, Zibechi se demande avec inquiétude si les assemblées constituantes ne pourraient pas être « une manière de ramener les mobilisations dans le cadre institutionnel, et de les contrôler ‘par en haut’ au détriment d’expériences populaires plus horizontales et autogestionnaires. » Nous ne suivons pas Zibechi dans ces sentiers biscornus.</w:t>
      </w:r>
    </w:p>
  </w:footnote>
  <w:footnote w:id="47">
    <w:p w14:paraId="6FD391DD" w14:textId="77777777" w:rsidR="00113C0A" w:rsidRPr="00FD5DEC" w:rsidRDefault="00113C0A" w:rsidP="00D54842">
      <w:pPr>
        <w:rPr>
          <w:lang w:val="fr-FR"/>
        </w:rPr>
      </w:pPr>
      <w:r>
        <w:rPr>
          <w:rStyle w:val="Marquenotebasdepage"/>
        </w:rPr>
        <w:footnoteRef/>
      </w:r>
      <w:r>
        <w:t xml:space="preserve"> </w:t>
      </w:r>
      <w:r>
        <w:rPr>
          <w:sz w:val="20"/>
          <w:szCs w:val="20"/>
        </w:rPr>
        <w:t xml:space="preserve">Alberto Acosta, économiste et écologiste de gauche bien connu en Équateur a été compagnon de route de Correa aux élections de 2006, puis ministre des Mines, puis président de l’Assemblée constituante en 2007 et en 2008. Depuis la fin de la Constituante, il s’est éloigné graduellement de Correa et du gouvernement </w:t>
      </w:r>
      <w:r w:rsidRPr="00406B4F">
        <w:rPr>
          <w:i/>
          <w:sz w:val="20"/>
          <w:szCs w:val="20"/>
        </w:rPr>
        <w:t>d’</w:t>
      </w:r>
      <w:r>
        <w:rPr>
          <w:i/>
          <w:sz w:val="20"/>
          <w:szCs w:val="20"/>
        </w:rPr>
        <w:t xml:space="preserve">Alianza </w:t>
      </w:r>
      <w:r w:rsidRPr="0032341F">
        <w:rPr>
          <w:i/>
          <w:sz w:val="20"/>
          <w:szCs w:val="20"/>
        </w:rPr>
        <w:t>País</w:t>
      </w:r>
      <w:r>
        <w:rPr>
          <w:sz w:val="20"/>
          <w:szCs w:val="20"/>
        </w:rPr>
        <w:t xml:space="preserve">. </w:t>
      </w:r>
      <w:r w:rsidRPr="00406B4F">
        <w:rPr>
          <w:sz w:val="20"/>
          <w:szCs w:val="20"/>
        </w:rPr>
        <w:t>En</w:t>
      </w:r>
      <w:r w:rsidRPr="00FD5DEC">
        <w:rPr>
          <w:sz w:val="20"/>
          <w:szCs w:val="20"/>
        </w:rPr>
        <w:t xml:space="preserve"> 2010, </w:t>
      </w:r>
      <w:r>
        <w:rPr>
          <w:sz w:val="20"/>
          <w:szCs w:val="20"/>
        </w:rPr>
        <w:t xml:space="preserve">tout en reconnaissant encore que le gouvernement de Correa avait réalisé des avancées significatives dans plusieurs domaines, Acosta réclamait </w:t>
      </w:r>
      <w:r w:rsidRPr="00FD5DEC">
        <w:rPr>
          <w:sz w:val="20"/>
          <w:szCs w:val="20"/>
        </w:rPr>
        <w:t xml:space="preserve">le droit de </w:t>
      </w:r>
      <w:r>
        <w:rPr>
          <w:sz w:val="20"/>
          <w:szCs w:val="20"/>
        </w:rPr>
        <w:t xml:space="preserve">le </w:t>
      </w:r>
      <w:r w:rsidRPr="00FD5DEC">
        <w:rPr>
          <w:sz w:val="20"/>
          <w:szCs w:val="20"/>
        </w:rPr>
        <w:t>critiquer: « </w:t>
      </w:r>
      <w:r>
        <w:rPr>
          <w:sz w:val="20"/>
          <w:szCs w:val="20"/>
        </w:rPr>
        <w:t>Il me semble qu’il est impératif pour nous d’avoir le droit de critiquer nos processus de changement. »</w:t>
      </w:r>
      <w:r w:rsidRPr="00FD5DEC">
        <w:rPr>
          <w:sz w:val="20"/>
          <w:szCs w:val="20"/>
        </w:rPr>
        <w:t> (</w:t>
      </w:r>
      <w:r>
        <w:rPr>
          <w:sz w:val="20"/>
          <w:szCs w:val="20"/>
        </w:rPr>
        <w:t>Acosta, 2010)</w:t>
      </w:r>
      <w:r w:rsidRPr="00FD5DEC">
        <w:rPr>
          <w:sz w:val="20"/>
          <w:szCs w:val="20"/>
        </w:rPr>
        <w:t xml:space="preserve">. </w:t>
      </w:r>
      <w:r>
        <w:rPr>
          <w:sz w:val="20"/>
          <w:szCs w:val="20"/>
        </w:rPr>
        <w:t>Toutefois</w:t>
      </w:r>
      <w:r w:rsidRPr="00FD5DEC">
        <w:rPr>
          <w:sz w:val="20"/>
          <w:szCs w:val="20"/>
        </w:rPr>
        <w:t xml:space="preserve">, à partir de 2011, la rupture </w:t>
      </w:r>
      <w:r>
        <w:rPr>
          <w:sz w:val="20"/>
          <w:szCs w:val="20"/>
        </w:rPr>
        <w:t>devint</w:t>
      </w:r>
      <w:r w:rsidRPr="00FD5DEC">
        <w:rPr>
          <w:sz w:val="20"/>
          <w:szCs w:val="20"/>
        </w:rPr>
        <w:t xml:space="preserve"> davantage consommée </w:t>
      </w:r>
      <w:r>
        <w:rPr>
          <w:sz w:val="20"/>
          <w:szCs w:val="20"/>
        </w:rPr>
        <w:t>avec Correa</w:t>
      </w:r>
      <w:r w:rsidRPr="00FD5DEC">
        <w:rPr>
          <w:sz w:val="20"/>
          <w:szCs w:val="20"/>
        </w:rPr>
        <w:t xml:space="preserve">. </w:t>
      </w:r>
      <w:r>
        <w:rPr>
          <w:sz w:val="20"/>
          <w:szCs w:val="20"/>
        </w:rPr>
        <w:t>Conséquemment, aux élections de 2013, Acosta considérait que Correa avait trahi la Constitution de 2008 et il refusait</w:t>
      </w:r>
      <w:r w:rsidRPr="00FD5DEC">
        <w:rPr>
          <w:sz w:val="20"/>
          <w:szCs w:val="20"/>
        </w:rPr>
        <w:t xml:space="preserve"> </w:t>
      </w:r>
      <w:r>
        <w:rPr>
          <w:sz w:val="20"/>
          <w:szCs w:val="20"/>
        </w:rPr>
        <w:t>de reconnaitre son gouvernement comme étant</w:t>
      </w:r>
      <w:r w:rsidRPr="00FD5DEC">
        <w:rPr>
          <w:sz w:val="20"/>
          <w:szCs w:val="20"/>
        </w:rPr>
        <w:t xml:space="preserve"> un gouvernement de gauche</w:t>
      </w:r>
      <w:r>
        <w:rPr>
          <w:sz w:val="20"/>
          <w:szCs w:val="20"/>
        </w:rPr>
        <w:t xml:space="preserve"> (Acosta et Machado, 2012; Acosta, 2013; Acosta et al., 2013; Gaudichaud, 2013)</w:t>
      </w:r>
      <w:r w:rsidRPr="00FD5DEC">
        <w:rPr>
          <w:sz w:val="20"/>
          <w:szCs w:val="20"/>
        </w:rPr>
        <w:t>.</w:t>
      </w:r>
    </w:p>
  </w:footnote>
  <w:footnote w:id="48">
    <w:p w14:paraId="228FAC05" w14:textId="77777777" w:rsidR="00113C0A" w:rsidRPr="000D44B0" w:rsidRDefault="00113C0A">
      <w:pPr>
        <w:pStyle w:val="Notedebasdepage"/>
        <w:rPr>
          <w:sz w:val="20"/>
          <w:szCs w:val="20"/>
          <w:lang w:val="fr-FR"/>
        </w:rPr>
      </w:pPr>
      <w:r>
        <w:rPr>
          <w:rStyle w:val="Marquenotebasdepage"/>
        </w:rPr>
        <w:footnoteRef/>
      </w:r>
      <w:r>
        <w:t xml:space="preserve"> </w:t>
      </w:r>
      <w:r>
        <w:rPr>
          <w:sz w:val="20"/>
          <w:szCs w:val="20"/>
        </w:rPr>
        <w:t xml:space="preserve">Au Brésil, par exemple, à la suite des élections de 1986, le gouvernement avait confié la rédaction de la Constitution de 1988 au Congrès, tout en faisant de la place à des « amendements populaires » venant de la société civile (Dagnino, 2006; Avritzer, 2006 :415-416). </w:t>
      </w:r>
      <w:r>
        <w:rPr>
          <w:sz w:val="20"/>
          <w:szCs w:val="20"/>
          <w:lang w:val="fr-FR"/>
        </w:rPr>
        <w:t xml:space="preserve">Toutefois, dans la conjoncture brésilienne actuelle, un nombre croissant d’organisations et de personnalités revendiquent une nouvelle constitution rédigée par une Assemblée constituante composée de représentants du monde politique et de la société civile. C’est le sens, par exemple, de la revendication faite par le Mouvement sans terre (MTS) pendant son congrès à Brasilia en décembre 2013 (Pedro Stedile dans Tavares, 2014). </w:t>
      </w:r>
    </w:p>
  </w:footnote>
  <w:footnote w:id="49">
    <w:p w14:paraId="7CC70278" w14:textId="77777777" w:rsidR="00113C0A" w:rsidRPr="003872C7" w:rsidRDefault="00113C0A">
      <w:pPr>
        <w:pStyle w:val="Notedebasdepage"/>
        <w:rPr>
          <w:lang w:val="fr-FR"/>
        </w:rPr>
      </w:pPr>
      <w:r>
        <w:rPr>
          <w:rStyle w:val="Marquenotebasdepage"/>
        </w:rPr>
        <w:footnoteRef/>
      </w:r>
      <w:r>
        <w:t xml:space="preserve"> </w:t>
      </w:r>
      <w:r w:rsidRPr="003872C7">
        <w:rPr>
          <w:sz w:val="20"/>
          <w:szCs w:val="20"/>
        </w:rPr>
        <w:t xml:space="preserve">Certains pourraient penser que le gouvernement de Bachelet II ne pourra pas apporter plus de transformations sociales et politiques profondes </w:t>
      </w:r>
      <w:r>
        <w:rPr>
          <w:sz w:val="20"/>
          <w:szCs w:val="20"/>
        </w:rPr>
        <w:t>qu’a pu en faire</w:t>
      </w:r>
      <w:r w:rsidRPr="003872C7">
        <w:rPr>
          <w:sz w:val="20"/>
          <w:szCs w:val="20"/>
        </w:rPr>
        <w:t xml:space="preserve"> </w:t>
      </w:r>
      <w:r>
        <w:rPr>
          <w:sz w:val="20"/>
          <w:szCs w:val="20"/>
        </w:rPr>
        <w:t xml:space="preserve">celui de </w:t>
      </w:r>
      <w:r w:rsidRPr="003872C7">
        <w:rPr>
          <w:sz w:val="20"/>
          <w:szCs w:val="20"/>
        </w:rPr>
        <w:t>Bachelet I</w:t>
      </w:r>
      <w:r>
        <w:rPr>
          <w:sz w:val="20"/>
          <w:szCs w:val="20"/>
        </w:rPr>
        <w:t xml:space="preserve">, lors de son premier passage à la </w:t>
      </w:r>
      <w:r w:rsidRPr="00D64046">
        <w:rPr>
          <w:i/>
          <w:sz w:val="20"/>
          <w:szCs w:val="20"/>
        </w:rPr>
        <w:t>Moneda</w:t>
      </w:r>
      <w:r w:rsidRPr="003872C7">
        <w:rPr>
          <w:sz w:val="20"/>
          <w:szCs w:val="20"/>
        </w:rPr>
        <w:t xml:space="preserve"> (2006-2009).</w:t>
      </w:r>
      <w:r>
        <w:rPr>
          <w:sz w:val="20"/>
          <w:szCs w:val="20"/>
        </w:rPr>
        <w:t xml:space="preserve"> Nous ne partageons pas cette façon de voir, parce que Michelle Bachelet revient au pouvoir dans une conjoncture politique qui a profondément changé au cours de 4 dernières années, grâce notamment aux impacts sociopolitiques du mouvement étudiant de 2011. Avec Garreton, nous pensons que le nouveau gouvernement de Bachelet pourrait être un « gouvernement refondateur » (El Comercio.pe, 15 novembre 2013). En somme, il y a une fenêtre d’opportunité qui s’ouvre pour impulser des transformations sociopolitiques profondes, dont la rupture avec le modèle économique néolibéral, la réforme du système d’éducation, la réforme du système fiscal et la co-construction démocratique d’une nouvelle constitution (Garreton, 2013b et 2014a). </w:t>
      </w:r>
    </w:p>
  </w:footnote>
  <w:footnote w:id="50">
    <w:p w14:paraId="79B6C0CF" w14:textId="77777777" w:rsidR="00113C0A" w:rsidRPr="009E5091" w:rsidRDefault="00113C0A">
      <w:pPr>
        <w:pStyle w:val="Notedebasdepage"/>
        <w:rPr>
          <w:sz w:val="20"/>
          <w:szCs w:val="20"/>
          <w:lang w:val="fr-FR"/>
        </w:rPr>
      </w:pPr>
      <w:r>
        <w:rPr>
          <w:rStyle w:val="Marquenotebasdepage"/>
        </w:rPr>
        <w:footnoteRef/>
      </w:r>
      <w:r>
        <w:t xml:space="preserve"> </w:t>
      </w:r>
      <w:r>
        <w:rPr>
          <w:sz w:val="20"/>
          <w:szCs w:val="20"/>
          <w:lang w:val="fr-FR"/>
        </w:rPr>
        <w:t>Le discours de la Junte militaire insistait sur l’idée que le coup d’État avait été réalisé pour « éradiquer le cancer marxiste » dont souffrait le gouvernement de l’Unité Populaire d’Allende et restaurer la démocratie au Chili.</w:t>
      </w:r>
    </w:p>
  </w:footnote>
  <w:footnote w:id="51">
    <w:p w14:paraId="730FB1EB" w14:textId="77777777" w:rsidR="00113C0A" w:rsidRPr="004B2C04" w:rsidRDefault="00113C0A">
      <w:pPr>
        <w:pStyle w:val="Notedebasdepage"/>
        <w:rPr>
          <w:lang w:val="fr-FR"/>
        </w:rPr>
      </w:pPr>
      <w:r>
        <w:rPr>
          <w:rStyle w:val="Marquenotebasdepage"/>
        </w:rPr>
        <w:footnoteRef/>
      </w:r>
      <w:r>
        <w:t xml:space="preserve"> </w:t>
      </w:r>
      <w:r w:rsidRPr="004B2C04">
        <w:rPr>
          <w:sz w:val="20"/>
          <w:szCs w:val="20"/>
          <w:lang w:val="fr-FR"/>
        </w:rPr>
        <w:t>En j</w:t>
      </w:r>
      <w:r>
        <w:rPr>
          <w:sz w:val="20"/>
          <w:szCs w:val="20"/>
          <w:lang w:val="fr-FR"/>
        </w:rPr>
        <w:t xml:space="preserve">anvier 1978, pour répliquer aux dénonciations de l’ONU concernant le non-respect des droits de l’Homme, la Junte avait organisé à toute vapeur un simulacre de plébiscite dans lequel elle invitait les citoyens à dire OUI à l’affirmation suivante : « (…) j’appuie le général Pinochet dans sa défense de la dignité du Chili, et je réaffirme la légitimité du gouvernement de la République à diriger souverainement le processus d’institutionnalisation du pays. » Selon le gouvernement de la Junte, le OUI aurait obtenu 75%. (Wikipedia, « Régime militaire d’Augusto Pinochet », consulté le 5 juillet 2014). </w:t>
      </w:r>
    </w:p>
  </w:footnote>
  <w:footnote w:id="52">
    <w:p w14:paraId="3C2973CA" w14:textId="77777777" w:rsidR="00113C0A" w:rsidRPr="00284D2D" w:rsidRDefault="00113C0A">
      <w:pPr>
        <w:pStyle w:val="Notedebasdepage"/>
        <w:rPr>
          <w:sz w:val="20"/>
          <w:szCs w:val="20"/>
          <w:lang w:val="fr-FR"/>
        </w:rPr>
      </w:pPr>
      <w:r>
        <w:rPr>
          <w:rStyle w:val="Marquenotebasdepage"/>
        </w:rPr>
        <w:footnoteRef/>
      </w:r>
      <w:r>
        <w:t xml:space="preserve"> </w:t>
      </w:r>
      <w:r>
        <w:rPr>
          <w:sz w:val="20"/>
          <w:szCs w:val="20"/>
          <w:lang w:val="fr-FR"/>
        </w:rPr>
        <w:t>En fait, les dispositions de la Constitution s’harmonisaient avec le décret-loi 2191 adopté le 18 avril 1978 par la Junte militaire.</w:t>
      </w:r>
    </w:p>
  </w:footnote>
  <w:footnote w:id="53">
    <w:p w14:paraId="1D4BEA1F" w14:textId="77777777" w:rsidR="00113C0A" w:rsidRPr="005711FA" w:rsidRDefault="00113C0A">
      <w:pPr>
        <w:pStyle w:val="Notedebasdepage"/>
        <w:rPr>
          <w:sz w:val="20"/>
          <w:szCs w:val="20"/>
        </w:rPr>
      </w:pPr>
      <w:r>
        <w:rPr>
          <w:rStyle w:val="Marquenotebasdepage"/>
        </w:rPr>
        <w:footnoteRef/>
      </w:r>
      <w:r>
        <w:t xml:space="preserve"> </w:t>
      </w:r>
      <w:r>
        <w:rPr>
          <w:sz w:val="20"/>
          <w:szCs w:val="20"/>
        </w:rPr>
        <w:t xml:space="preserve">Les deux scénarios qui seraient possibles en 1988 sont décrits entre autres dans les articles 27, 28 et 29 de la dernière partie de la Constitution qui porte sur sur les « pouvoirs transitoires ». Pour remettre les choses au clair, résumons en disant que Pinochet était chef d’État depuis 7 ans au moment de l’adoption de la Constitution de 1980, que la Constitution lui accordait une première prolongation officielle de 8 années additionnelles mais </w:t>
      </w:r>
      <w:r>
        <w:rPr>
          <w:i/>
          <w:sz w:val="20"/>
          <w:szCs w:val="20"/>
        </w:rPr>
        <w:t xml:space="preserve">de facto </w:t>
      </w:r>
      <w:r>
        <w:rPr>
          <w:sz w:val="20"/>
          <w:szCs w:val="20"/>
        </w:rPr>
        <w:t xml:space="preserve">de 9 années (soit de 1980 à mars 1989) et qu’il aurait obtenu un autre mandat additionnel de 8 années si le OUI l’avait emporté lors du plébiscite d’octobre 1988. Dans les faits, en raison de sa défaite au plébiscite de 1988, Pinochet aura été chef d’État au Chili pendant 17 ans (1973-1990).  </w:t>
      </w:r>
    </w:p>
  </w:footnote>
  <w:footnote w:id="54">
    <w:p w14:paraId="046163A8" w14:textId="77777777" w:rsidR="00113C0A" w:rsidRPr="00C50D6C" w:rsidRDefault="00113C0A">
      <w:pPr>
        <w:pStyle w:val="Notedebasdepage"/>
        <w:rPr>
          <w:sz w:val="20"/>
          <w:szCs w:val="20"/>
          <w:lang w:val="fr-FR"/>
        </w:rPr>
      </w:pPr>
      <w:r>
        <w:rPr>
          <w:rStyle w:val="Marquenotebasdepage"/>
        </w:rPr>
        <w:footnoteRef/>
      </w:r>
      <w:r>
        <w:t xml:space="preserve"> </w:t>
      </w:r>
      <w:r>
        <w:rPr>
          <w:sz w:val="20"/>
          <w:szCs w:val="20"/>
          <w:lang w:val="fr-FR"/>
        </w:rPr>
        <w:t xml:space="preserve">En 2005, à la suite d’amendements adoptés par le Congrès, la durée du mandat présidentiel pour les présidents élus fut réduite de 6 à 4 années et les 9 postes de sénateurs non élus furent abolis. Depuis 2005, le nombre de sénateurs est de 38 (Le Coq, 2007 ; Sénat de la France, 2014). Par contre, pour les deux périodes où la Constitution prévoyait que le président ne serait pas élu, la durée du mandat était de 8 années (art. 25). </w:t>
      </w:r>
    </w:p>
  </w:footnote>
  <w:footnote w:id="55">
    <w:p w14:paraId="2738E6F2" w14:textId="77777777" w:rsidR="00113C0A" w:rsidRPr="00C75229" w:rsidRDefault="00113C0A" w:rsidP="00AA0E5B">
      <w:pPr>
        <w:pStyle w:val="Notedebasdepage"/>
        <w:rPr>
          <w:sz w:val="20"/>
          <w:szCs w:val="20"/>
          <w:lang w:val="fr-FR"/>
        </w:rPr>
      </w:pPr>
      <w:r>
        <w:rPr>
          <w:rStyle w:val="Marquenotebasdepage"/>
        </w:rPr>
        <w:footnoteRef/>
      </w:r>
      <w:r>
        <w:t xml:space="preserve"> </w:t>
      </w:r>
      <w:r>
        <w:rPr>
          <w:sz w:val="20"/>
          <w:szCs w:val="20"/>
          <w:lang w:val="fr-FR"/>
        </w:rPr>
        <w:t>L’article 32 consacré à la liste des pouvoirs du président contient pas moins de 22 paragraphes.</w:t>
      </w:r>
    </w:p>
  </w:footnote>
  <w:footnote w:id="56">
    <w:p w14:paraId="4D008D42" w14:textId="77777777" w:rsidR="00113C0A" w:rsidRPr="00A43E26" w:rsidRDefault="00113C0A">
      <w:pPr>
        <w:pStyle w:val="Notedebasdepage"/>
        <w:rPr>
          <w:sz w:val="20"/>
          <w:szCs w:val="20"/>
          <w:lang w:val="fr-FR"/>
        </w:rPr>
      </w:pPr>
      <w:r>
        <w:rPr>
          <w:rStyle w:val="Marquenotebasdepage"/>
        </w:rPr>
        <w:footnoteRef/>
      </w:r>
      <w:r>
        <w:t xml:space="preserve"> </w:t>
      </w:r>
      <w:r>
        <w:rPr>
          <w:sz w:val="20"/>
          <w:szCs w:val="20"/>
          <w:lang w:val="fr-FR"/>
        </w:rPr>
        <w:t>En fait, conformément à l’article 18, le mode de scrutin binominal est défini à partir de l’article 109 de la loi organique constitutionnelle sur les élections (loi no 18.700/88) adoptée en 1988 au moment où, de fait, des élections à la fois présidentielles et législatives allaient devoir être tenues en vertu de la victoire du NON au référendum de 1988 (Couffignal, 2012 ; Garreton, 2007 :171). L’histoire montrera que les règles pour modifier une « loi organique constitutionnelle » étaient les mêmes que celles qui prévalaient pour modifier la Constitution. Entre autres, la majorité des 3/5 des membres des deux chambres était requise (art. 63). C’est ce qui explique que le mode de scrutin binominal demeurait encore un verrou, au moment du retour de Michelle Bachelet au pouvoir en mars 2014.</w:t>
      </w:r>
    </w:p>
  </w:footnote>
  <w:footnote w:id="57">
    <w:p w14:paraId="2937F16C" w14:textId="77777777" w:rsidR="00113C0A" w:rsidRPr="00C24E88" w:rsidRDefault="00113C0A">
      <w:pPr>
        <w:pStyle w:val="Notedebasdepage"/>
        <w:rPr>
          <w:lang w:val="fr-FR"/>
        </w:rPr>
      </w:pPr>
      <w:r>
        <w:rPr>
          <w:rStyle w:val="Marquenotebasdepage"/>
        </w:rPr>
        <w:footnoteRef/>
      </w:r>
      <w:r>
        <w:t xml:space="preserve"> </w:t>
      </w:r>
      <w:r>
        <w:rPr>
          <w:sz w:val="20"/>
          <w:szCs w:val="20"/>
          <w:lang w:val="fr-FR"/>
        </w:rPr>
        <w:t xml:space="preserve">Pour d’autres descriptions claires du mode de scrutin binominal et de ses implications anti-démocratiques, voir Couffignal (2012) et Garreton (2007 :173-176). </w:t>
      </w:r>
    </w:p>
  </w:footnote>
  <w:footnote w:id="58">
    <w:p w14:paraId="62358AE8" w14:textId="77777777" w:rsidR="00113C0A" w:rsidRPr="002024A4" w:rsidRDefault="00113C0A">
      <w:pPr>
        <w:pStyle w:val="Notedebasdepage"/>
        <w:rPr>
          <w:sz w:val="20"/>
          <w:szCs w:val="20"/>
          <w:lang w:val="fr-FR"/>
        </w:rPr>
      </w:pPr>
      <w:r w:rsidRPr="002024A4">
        <w:rPr>
          <w:rStyle w:val="Marquenotebasdepage"/>
        </w:rPr>
        <w:footnoteRef/>
      </w:r>
      <w:r w:rsidRPr="002024A4">
        <w:rPr>
          <w:sz w:val="20"/>
          <w:szCs w:val="20"/>
        </w:rPr>
        <w:t xml:space="preserve"> Par exemple, </w:t>
      </w:r>
      <w:r>
        <w:rPr>
          <w:sz w:val="20"/>
          <w:szCs w:val="20"/>
        </w:rPr>
        <w:t xml:space="preserve">des </w:t>
      </w:r>
      <w:r w:rsidRPr="002024A4">
        <w:rPr>
          <w:sz w:val="20"/>
          <w:szCs w:val="20"/>
        </w:rPr>
        <w:t>auteur</w:t>
      </w:r>
      <w:r>
        <w:rPr>
          <w:sz w:val="20"/>
          <w:szCs w:val="20"/>
        </w:rPr>
        <w:t>s</w:t>
      </w:r>
      <w:r w:rsidRPr="002024A4">
        <w:rPr>
          <w:sz w:val="20"/>
          <w:szCs w:val="20"/>
        </w:rPr>
        <w:t xml:space="preserve"> comme </w:t>
      </w:r>
      <w:r>
        <w:rPr>
          <w:sz w:val="20"/>
          <w:szCs w:val="20"/>
        </w:rPr>
        <w:t xml:space="preserve">Ackerman, Avritzer et </w:t>
      </w:r>
      <w:r w:rsidRPr="002024A4">
        <w:rPr>
          <w:sz w:val="20"/>
          <w:szCs w:val="20"/>
        </w:rPr>
        <w:t>Garreton</w:t>
      </w:r>
      <w:r>
        <w:rPr>
          <w:sz w:val="20"/>
          <w:szCs w:val="20"/>
        </w:rPr>
        <w:t xml:space="preserve"> que nous avons cités fréquemment</w:t>
      </w:r>
      <w:r w:rsidRPr="002024A4">
        <w:rPr>
          <w:sz w:val="20"/>
          <w:szCs w:val="20"/>
        </w:rPr>
        <w:t xml:space="preserve"> s’intéresse</w:t>
      </w:r>
      <w:r>
        <w:rPr>
          <w:sz w:val="20"/>
          <w:szCs w:val="20"/>
        </w:rPr>
        <w:t>nt</w:t>
      </w:r>
      <w:r w:rsidRPr="002024A4">
        <w:rPr>
          <w:sz w:val="20"/>
          <w:szCs w:val="20"/>
        </w:rPr>
        <w:t xml:space="preserve"> à la participation citoyenne </w:t>
      </w:r>
      <w:r>
        <w:rPr>
          <w:sz w:val="20"/>
          <w:szCs w:val="20"/>
        </w:rPr>
        <w:t>de même qu’à la coopération</w:t>
      </w:r>
      <w:r w:rsidRPr="002024A4">
        <w:rPr>
          <w:sz w:val="20"/>
          <w:szCs w:val="20"/>
        </w:rPr>
        <w:t xml:space="preserve"> entre le social et le politique dans les décisions de politiques publiques</w:t>
      </w:r>
      <w:r>
        <w:rPr>
          <w:sz w:val="20"/>
          <w:szCs w:val="20"/>
        </w:rPr>
        <w:t>,</w:t>
      </w:r>
      <w:r w:rsidRPr="002024A4">
        <w:rPr>
          <w:sz w:val="20"/>
          <w:szCs w:val="20"/>
        </w:rPr>
        <w:t xml:space="preserve"> mais </w:t>
      </w:r>
      <w:r>
        <w:rPr>
          <w:sz w:val="20"/>
          <w:szCs w:val="20"/>
        </w:rPr>
        <w:t xml:space="preserve">le font </w:t>
      </w:r>
      <w:r w:rsidRPr="002024A4">
        <w:rPr>
          <w:sz w:val="20"/>
          <w:szCs w:val="20"/>
        </w:rPr>
        <w:t xml:space="preserve">sans utiliser </w:t>
      </w:r>
      <w:r>
        <w:rPr>
          <w:sz w:val="20"/>
          <w:szCs w:val="20"/>
        </w:rPr>
        <w:t xml:space="preserve">formellement </w:t>
      </w:r>
      <w:r w:rsidRPr="002024A4">
        <w:rPr>
          <w:sz w:val="20"/>
          <w:szCs w:val="20"/>
        </w:rPr>
        <w:t>le concept de co-construction</w:t>
      </w:r>
      <w:r>
        <w:rPr>
          <w:sz w:val="20"/>
          <w:szCs w:val="20"/>
        </w:rPr>
        <w:t xml:space="preserve"> démocratique</w:t>
      </w:r>
      <w:r w:rsidRPr="002024A4">
        <w:rPr>
          <w:sz w:val="20"/>
          <w:szCs w:val="20"/>
        </w:rPr>
        <w:t xml:space="preserve"> ou s’intéresser à l’apport de l’ESS, ce qui ne rend pas</w:t>
      </w:r>
      <w:r>
        <w:rPr>
          <w:sz w:val="20"/>
          <w:szCs w:val="20"/>
        </w:rPr>
        <w:t xml:space="preserve"> ces auteurs</w:t>
      </w:r>
      <w:r w:rsidRPr="002024A4">
        <w:rPr>
          <w:sz w:val="20"/>
          <w:szCs w:val="20"/>
        </w:rPr>
        <w:t xml:space="preserve"> moins pertinent</w:t>
      </w:r>
      <w:r>
        <w:rPr>
          <w:sz w:val="20"/>
          <w:szCs w:val="20"/>
        </w:rPr>
        <w:t>s</w:t>
      </w:r>
      <w:r w:rsidRPr="002024A4">
        <w:rPr>
          <w:sz w:val="20"/>
          <w:szCs w:val="20"/>
        </w:rPr>
        <w:t xml:space="preserve"> et percutant</w:t>
      </w:r>
      <w:r>
        <w:rPr>
          <w:sz w:val="20"/>
          <w:szCs w:val="20"/>
        </w:rPr>
        <w:t>s</w:t>
      </w:r>
      <w:r w:rsidRPr="002024A4">
        <w:rPr>
          <w:sz w:val="20"/>
          <w:szCs w:val="20"/>
        </w:rPr>
        <w:t xml:space="preserve"> à nos yeux. </w:t>
      </w:r>
      <w:r>
        <w:rPr>
          <w:sz w:val="20"/>
          <w:szCs w:val="20"/>
        </w:rPr>
        <w:t>Par contre, une chercheuse comme Ana Mercedes Sarria, que nous citons dans le dossier des budgets participatifs au Brésil, travaille avec un cadre conceptuel plus proche du nôtre, ce qui contribue à rendre ses écrits particulièrement éclairants pour répondre aux questions de recherche que nous soulevons au sujet de la participation de l’ESS à la co-construction des politiques publiques dans l’État de Rio Grande Do Sul et dans l’ensemble du Brésil.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3FE42" w14:textId="77777777" w:rsidR="00113C0A" w:rsidRDefault="00113C0A" w:rsidP="00E867D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ACDE28C" w14:textId="77777777" w:rsidR="00113C0A" w:rsidRDefault="00113C0A" w:rsidP="00E867D3">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631AA" w14:textId="77777777" w:rsidR="00113C0A" w:rsidRDefault="00113C0A" w:rsidP="00E867D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744D6">
      <w:rPr>
        <w:rStyle w:val="Numrodepage"/>
        <w:noProof/>
      </w:rPr>
      <w:t>17</w:t>
    </w:r>
    <w:r>
      <w:rPr>
        <w:rStyle w:val="Numrodepage"/>
      </w:rPr>
      <w:fldChar w:fldCharType="end"/>
    </w:r>
  </w:p>
  <w:p w14:paraId="181C3C79" w14:textId="77777777" w:rsidR="00113C0A" w:rsidRDefault="00113C0A" w:rsidP="00E867D3">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94824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2F34B9F"/>
    <w:multiLevelType w:val="hybridMultilevel"/>
    <w:tmpl w:val="98EE84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4C22999"/>
    <w:multiLevelType w:val="hybridMultilevel"/>
    <w:tmpl w:val="6CBAA9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7306FE3"/>
    <w:multiLevelType w:val="hybridMultilevel"/>
    <w:tmpl w:val="62E4582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9B930D2"/>
    <w:multiLevelType w:val="hybridMultilevel"/>
    <w:tmpl w:val="2EF27CF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0EFD4515"/>
    <w:multiLevelType w:val="hybridMultilevel"/>
    <w:tmpl w:val="F21CA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FB6569"/>
    <w:multiLevelType w:val="hybridMultilevel"/>
    <w:tmpl w:val="CBD41C1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18AE107D"/>
    <w:multiLevelType w:val="hybridMultilevel"/>
    <w:tmpl w:val="9BD85CA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1B780C4C"/>
    <w:multiLevelType w:val="hybridMultilevel"/>
    <w:tmpl w:val="BDBC843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E414B01"/>
    <w:multiLevelType w:val="hybridMultilevel"/>
    <w:tmpl w:val="6F5C88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EE27DF0"/>
    <w:multiLevelType w:val="multilevel"/>
    <w:tmpl w:val="25360F1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41F6CB7"/>
    <w:multiLevelType w:val="hybridMultilevel"/>
    <w:tmpl w:val="F298774A"/>
    <w:lvl w:ilvl="0" w:tplc="040C000F">
      <w:start w:val="1"/>
      <w:numFmt w:val="decimal"/>
      <w:lvlText w:val="%1."/>
      <w:lvlJc w:val="left"/>
      <w:pPr>
        <w:ind w:left="360" w:hanging="360"/>
      </w:pPr>
    </w:lvl>
    <w:lvl w:ilvl="1" w:tplc="040C0017">
      <w:start w:val="1"/>
      <w:numFmt w:val="lowerLetter"/>
      <w:lvlText w:val="%2)"/>
      <w:lvlJc w:val="left"/>
      <w:pPr>
        <w:ind w:left="1080"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2B2032C3"/>
    <w:multiLevelType w:val="hybridMultilevel"/>
    <w:tmpl w:val="654455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B2A212F"/>
    <w:multiLevelType w:val="hybridMultilevel"/>
    <w:tmpl w:val="A65E0D2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2DC471F5"/>
    <w:multiLevelType w:val="multilevel"/>
    <w:tmpl w:val="98EE841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nsid w:val="30090C5F"/>
    <w:multiLevelType w:val="hybridMultilevel"/>
    <w:tmpl w:val="A0F6AE0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32D55503"/>
    <w:multiLevelType w:val="hybridMultilevel"/>
    <w:tmpl w:val="214010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2FF2A6F"/>
    <w:multiLevelType w:val="hybridMultilevel"/>
    <w:tmpl w:val="3EF49DDE"/>
    <w:lvl w:ilvl="0" w:tplc="73CE3DE0">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33102ACC"/>
    <w:multiLevelType w:val="hybridMultilevel"/>
    <w:tmpl w:val="205CB11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37AF0218"/>
    <w:multiLevelType w:val="hybridMultilevel"/>
    <w:tmpl w:val="E9D4EA2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3D105D08"/>
    <w:multiLevelType w:val="hybridMultilevel"/>
    <w:tmpl w:val="A3EAAF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FCE7EF8"/>
    <w:multiLevelType w:val="hybridMultilevel"/>
    <w:tmpl w:val="466886A2"/>
    <w:lvl w:ilvl="0" w:tplc="B2E8E6CA">
      <w:start w:val="1"/>
      <w:numFmt w:val="decimal"/>
      <w:lvlText w:val="%1."/>
      <w:lvlJc w:val="left"/>
      <w:pPr>
        <w:ind w:left="360" w:hanging="360"/>
      </w:pPr>
      <w:rPr>
        <w:rFonts w:hint="default"/>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40FD5EDB"/>
    <w:multiLevelType w:val="hybridMultilevel"/>
    <w:tmpl w:val="641268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6806D7B"/>
    <w:multiLevelType w:val="multilevel"/>
    <w:tmpl w:val="E9D4EA2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BE31AA5"/>
    <w:multiLevelType w:val="hybridMultilevel"/>
    <w:tmpl w:val="7042FFB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4FE72922"/>
    <w:multiLevelType w:val="hybridMultilevel"/>
    <w:tmpl w:val="25360F14"/>
    <w:lvl w:ilvl="0" w:tplc="EEBAFC0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50AB68A3"/>
    <w:multiLevelType w:val="hybridMultilevel"/>
    <w:tmpl w:val="4AA64F40"/>
    <w:lvl w:ilvl="0" w:tplc="73CE3DE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8E059A0"/>
    <w:multiLevelType w:val="hybridMultilevel"/>
    <w:tmpl w:val="6A0478E6"/>
    <w:lvl w:ilvl="0" w:tplc="293E7ABE">
      <w:start w:val="1"/>
      <w:numFmt w:val="upp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5CE7553C"/>
    <w:multiLevelType w:val="hybridMultilevel"/>
    <w:tmpl w:val="4072C12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5D3E5A79"/>
    <w:multiLevelType w:val="hybridMultilevel"/>
    <w:tmpl w:val="4B600B2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ED56D27"/>
    <w:multiLevelType w:val="hybridMultilevel"/>
    <w:tmpl w:val="D8A845F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65830F58"/>
    <w:multiLevelType w:val="hybridMultilevel"/>
    <w:tmpl w:val="8C30A7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nsid w:val="665F17BF"/>
    <w:multiLevelType w:val="hybridMultilevel"/>
    <w:tmpl w:val="775686A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nsid w:val="6B9F0E44"/>
    <w:multiLevelType w:val="hybridMultilevel"/>
    <w:tmpl w:val="DEF042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D147798"/>
    <w:multiLevelType w:val="hybridMultilevel"/>
    <w:tmpl w:val="8B2223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6D774CF3"/>
    <w:multiLevelType w:val="hybridMultilevel"/>
    <w:tmpl w:val="843EBF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6EA614B6"/>
    <w:multiLevelType w:val="hybridMultilevel"/>
    <w:tmpl w:val="5246D36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6F13721B"/>
    <w:multiLevelType w:val="hybridMultilevel"/>
    <w:tmpl w:val="91D4099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700422D5"/>
    <w:multiLevelType w:val="hybridMultilevel"/>
    <w:tmpl w:val="17F45E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22534F3"/>
    <w:multiLevelType w:val="hybridMultilevel"/>
    <w:tmpl w:val="F2B49A3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781054BF"/>
    <w:multiLevelType w:val="hybridMultilevel"/>
    <w:tmpl w:val="F30A755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nsid w:val="7B0B1C5D"/>
    <w:multiLevelType w:val="hybridMultilevel"/>
    <w:tmpl w:val="ED269278"/>
    <w:lvl w:ilvl="0" w:tplc="00B220A6">
      <w:start w:val="1"/>
      <w:numFmt w:val="upperRoman"/>
      <w:lvlText w:val="%1-"/>
      <w:lvlJc w:val="left"/>
      <w:pPr>
        <w:ind w:left="1080" w:hanging="720"/>
      </w:pPr>
      <w:rPr>
        <w:rFonts w:asciiTheme="majorHAnsi" w:eastAsiaTheme="majorEastAsia" w:hAnsiTheme="majorHAnsi" w:cstheme="majorBidi" w:hint="default"/>
        <w:b/>
        <w:sz w:val="3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nsid w:val="7C26018E"/>
    <w:multiLevelType w:val="multilevel"/>
    <w:tmpl w:val="DEF042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3">
    <w:nsid w:val="7CDA1CB8"/>
    <w:multiLevelType w:val="hybridMultilevel"/>
    <w:tmpl w:val="69AEBD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7E0A1B1A"/>
    <w:multiLevelType w:val="hybridMultilevel"/>
    <w:tmpl w:val="D71C06E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5">
    <w:nsid w:val="7EC94BC4"/>
    <w:multiLevelType w:val="hybridMultilevel"/>
    <w:tmpl w:val="8FECFC04"/>
    <w:lvl w:ilvl="0" w:tplc="D48CADA8">
      <w:start w:val="2"/>
      <w:numFmt w:val="upp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5"/>
  </w:num>
  <w:num w:numId="2">
    <w:abstractNumId w:val="11"/>
  </w:num>
  <w:num w:numId="3">
    <w:abstractNumId w:val="18"/>
  </w:num>
  <w:num w:numId="4">
    <w:abstractNumId w:val="27"/>
  </w:num>
  <w:num w:numId="5">
    <w:abstractNumId w:val="45"/>
  </w:num>
  <w:num w:numId="6">
    <w:abstractNumId w:val="5"/>
  </w:num>
  <w:num w:numId="7">
    <w:abstractNumId w:val="29"/>
  </w:num>
  <w:num w:numId="8">
    <w:abstractNumId w:val="21"/>
  </w:num>
  <w:num w:numId="9">
    <w:abstractNumId w:val="25"/>
  </w:num>
  <w:num w:numId="10">
    <w:abstractNumId w:val="3"/>
  </w:num>
  <w:num w:numId="11">
    <w:abstractNumId w:val="20"/>
  </w:num>
  <w:num w:numId="12">
    <w:abstractNumId w:val="0"/>
  </w:num>
  <w:num w:numId="13">
    <w:abstractNumId w:val="10"/>
  </w:num>
  <w:num w:numId="14">
    <w:abstractNumId w:val="40"/>
  </w:num>
  <w:num w:numId="15">
    <w:abstractNumId w:val="37"/>
  </w:num>
  <w:num w:numId="16">
    <w:abstractNumId w:val="19"/>
  </w:num>
  <w:num w:numId="17">
    <w:abstractNumId w:val="23"/>
  </w:num>
  <w:num w:numId="18">
    <w:abstractNumId w:val="32"/>
  </w:num>
  <w:num w:numId="19">
    <w:abstractNumId w:val="31"/>
  </w:num>
  <w:num w:numId="20">
    <w:abstractNumId w:val="30"/>
  </w:num>
  <w:num w:numId="21">
    <w:abstractNumId w:val="36"/>
  </w:num>
  <w:num w:numId="22">
    <w:abstractNumId w:val="44"/>
  </w:num>
  <w:num w:numId="23">
    <w:abstractNumId w:val="7"/>
  </w:num>
  <w:num w:numId="24">
    <w:abstractNumId w:val="8"/>
  </w:num>
  <w:num w:numId="25">
    <w:abstractNumId w:val="12"/>
  </w:num>
  <w:num w:numId="26">
    <w:abstractNumId w:val="26"/>
  </w:num>
  <w:num w:numId="27">
    <w:abstractNumId w:val="17"/>
  </w:num>
  <w:num w:numId="28">
    <w:abstractNumId w:val="28"/>
  </w:num>
  <w:num w:numId="29">
    <w:abstractNumId w:val="6"/>
  </w:num>
  <w:num w:numId="30">
    <w:abstractNumId w:val="13"/>
  </w:num>
  <w:num w:numId="31">
    <w:abstractNumId w:val="39"/>
  </w:num>
  <w:num w:numId="32">
    <w:abstractNumId w:val="16"/>
  </w:num>
  <w:num w:numId="33">
    <w:abstractNumId w:val="4"/>
  </w:num>
  <w:num w:numId="34">
    <w:abstractNumId w:val="35"/>
  </w:num>
  <w:num w:numId="35">
    <w:abstractNumId w:val="34"/>
  </w:num>
  <w:num w:numId="36">
    <w:abstractNumId w:val="33"/>
  </w:num>
  <w:num w:numId="37">
    <w:abstractNumId w:val="42"/>
  </w:num>
  <w:num w:numId="38">
    <w:abstractNumId w:val="38"/>
  </w:num>
  <w:num w:numId="39">
    <w:abstractNumId w:val="43"/>
  </w:num>
  <w:num w:numId="40">
    <w:abstractNumId w:val="22"/>
  </w:num>
  <w:num w:numId="41">
    <w:abstractNumId w:val="2"/>
  </w:num>
  <w:num w:numId="42">
    <w:abstractNumId w:val="24"/>
  </w:num>
  <w:num w:numId="43">
    <w:abstractNumId w:val="1"/>
  </w:num>
  <w:num w:numId="44">
    <w:abstractNumId w:val="14"/>
  </w:num>
  <w:num w:numId="45">
    <w:abstractNumId w:val="9"/>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53"/>
    <w:rsid w:val="0000005B"/>
    <w:rsid w:val="00001206"/>
    <w:rsid w:val="000015F7"/>
    <w:rsid w:val="00001A3D"/>
    <w:rsid w:val="00002A03"/>
    <w:rsid w:val="00003CB8"/>
    <w:rsid w:val="000040F6"/>
    <w:rsid w:val="0000432C"/>
    <w:rsid w:val="00004579"/>
    <w:rsid w:val="0000544C"/>
    <w:rsid w:val="00007748"/>
    <w:rsid w:val="00007EA3"/>
    <w:rsid w:val="00010533"/>
    <w:rsid w:val="000117B9"/>
    <w:rsid w:val="00011826"/>
    <w:rsid w:val="0001198D"/>
    <w:rsid w:val="00011EA1"/>
    <w:rsid w:val="000124AE"/>
    <w:rsid w:val="00013A8C"/>
    <w:rsid w:val="00013BF1"/>
    <w:rsid w:val="000144CE"/>
    <w:rsid w:val="000150DA"/>
    <w:rsid w:val="0001609A"/>
    <w:rsid w:val="000160A9"/>
    <w:rsid w:val="000169A5"/>
    <w:rsid w:val="000206C1"/>
    <w:rsid w:val="00021882"/>
    <w:rsid w:val="00022DC0"/>
    <w:rsid w:val="000255FE"/>
    <w:rsid w:val="00025905"/>
    <w:rsid w:val="00026B01"/>
    <w:rsid w:val="00027CF6"/>
    <w:rsid w:val="00030B11"/>
    <w:rsid w:val="0003100F"/>
    <w:rsid w:val="00031ED6"/>
    <w:rsid w:val="00032EE0"/>
    <w:rsid w:val="00032F9E"/>
    <w:rsid w:val="000352EE"/>
    <w:rsid w:val="000358E9"/>
    <w:rsid w:val="00035983"/>
    <w:rsid w:val="00035B60"/>
    <w:rsid w:val="00037681"/>
    <w:rsid w:val="00037FA1"/>
    <w:rsid w:val="0004081E"/>
    <w:rsid w:val="00040B1A"/>
    <w:rsid w:val="00040C2D"/>
    <w:rsid w:val="000411B1"/>
    <w:rsid w:val="00041832"/>
    <w:rsid w:val="00041AF8"/>
    <w:rsid w:val="00041B52"/>
    <w:rsid w:val="00041CEA"/>
    <w:rsid w:val="00042A39"/>
    <w:rsid w:val="00043C8A"/>
    <w:rsid w:val="000440AF"/>
    <w:rsid w:val="00044AA1"/>
    <w:rsid w:val="0004608E"/>
    <w:rsid w:val="000469FE"/>
    <w:rsid w:val="000474C9"/>
    <w:rsid w:val="000503DF"/>
    <w:rsid w:val="00051007"/>
    <w:rsid w:val="00051250"/>
    <w:rsid w:val="000517B2"/>
    <w:rsid w:val="0005201A"/>
    <w:rsid w:val="000522AF"/>
    <w:rsid w:val="00053148"/>
    <w:rsid w:val="00053C16"/>
    <w:rsid w:val="00055100"/>
    <w:rsid w:val="0005584C"/>
    <w:rsid w:val="00055B04"/>
    <w:rsid w:val="00056935"/>
    <w:rsid w:val="00057134"/>
    <w:rsid w:val="00060132"/>
    <w:rsid w:val="00060482"/>
    <w:rsid w:val="00060A93"/>
    <w:rsid w:val="00061AB6"/>
    <w:rsid w:val="00061CC4"/>
    <w:rsid w:val="00063184"/>
    <w:rsid w:val="00063505"/>
    <w:rsid w:val="00063A66"/>
    <w:rsid w:val="00065958"/>
    <w:rsid w:val="00066421"/>
    <w:rsid w:val="000678F9"/>
    <w:rsid w:val="0007035E"/>
    <w:rsid w:val="00070540"/>
    <w:rsid w:val="000705C0"/>
    <w:rsid w:val="00071EF2"/>
    <w:rsid w:val="00072224"/>
    <w:rsid w:val="00072B73"/>
    <w:rsid w:val="0007348A"/>
    <w:rsid w:val="00073C6B"/>
    <w:rsid w:val="0007449E"/>
    <w:rsid w:val="0007472C"/>
    <w:rsid w:val="0007489F"/>
    <w:rsid w:val="00074E8D"/>
    <w:rsid w:val="00075B93"/>
    <w:rsid w:val="00076380"/>
    <w:rsid w:val="00076F13"/>
    <w:rsid w:val="00077014"/>
    <w:rsid w:val="00077D61"/>
    <w:rsid w:val="00077F54"/>
    <w:rsid w:val="00080547"/>
    <w:rsid w:val="0008148F"/>
    <w:rsid w:val="00083B7C"/>
    <w:rsid w:val="00084981"/>
    <w:rsid w:val="00085A9D"/>
    <w:rsid w:val="00086928"/>
    <w:rsid w:val="00087191"/>
    <w:rsid w:val="000871E5"/>
    <w:rsid w:val="00091D4D"/>
    <w:rsid w:val="00095E7E"/>
    <w:rsid w:val="0009745F"/>
    <w:rsid w:val="00097602"/>
    <w:rsid w:val="000A1256"/>
    <w:rsid w:val="000A21E9"/>
    <w:rsid w:val="000A3F52"/>
    <w:rsid w:val="000A5E56"/>
    <w:rsid w:val="000A6D18"/>
    <w:rsid w:val="000B0C0B"/>
    <w:rsid w:val="000B13B8"/>
    <w:rsid w:val="000B25C5"/>
    <w:rsid w:val="000B332D"/>
    <w:rsid w:val="000B3AE4"/>
    <w:rsid w:val="000B3E75"/>
    <w:rsid w:val="000B5EB1"/>
    <w:rsid w:val="000B658F"/>
    <w:rsid w:val="000B65AB"/>
    <w:rsid w:val="000B662D"/>
    <w:rsid w:val="000B69E6"/>
    <w:rsid w:val="000B6AD8"/>
    <w:rsid w:val="000C1034"/>
    <w:rsid w:val="000C174F"/>
    <w:rsid w:val="000C1F3A"/>
    <w:rsid w:val="000C3434"/>
    <w:rsid w:val="000C4F2F"/>
    <w:rsid w:val="000C55BA"/>
    <w:rsid w:val="000C680A"/>
    <w:rsid w:val="000C6DFC"/>
    <w:rsid w:val="000C76C6"/>
    <w:rsid w:val="000C7D81"/>
    <w:rsid w:val="000D1D40"/>
    <w:rsid w:val="000D241E"/>
    <w:rsid w:val="000D2A1E"/>
    <w:rsid w:val="000D2A77"/>
    <w:rsid w:val="000D44B0"/>
    <w:rsid w:val="000D46A6"/>
    <w:rsid w:val="000D4BD4"/>
    <w:rsid w:val="000D61D3"/>
    <w:rsid w:val="000D6D9E"/>
    <w:rsid w:val="000E07D6"/>
    <w:rsid w:val="000E12D3"/>
    <w:rsid w:val="000E16BB"/>
    <w:rsid w:val="000E246B"/>
    <w:rsid w:val="000E29C6"/>
    <w:rsid w:val="000E514C"/>
    <w:rsid w:val="000E6CE8"/>
    <w:rsid w:val="000E6E20"/>
    <w:rsid w:val="000F0509"/>
    <w:rsid w:val="000F2264"/>
    <w:rsid w:val="000F2443"/>
    <w:rsid w:val="000F28D4"/>
    <w:rsid w:val="000F2AC6"/>
    <w:rsid w:val="000F3294"/>
    <w:rsid w:val="000F3363"/>
    <w:rsid w:val="000F357F"/>
    <w:rsid w:val="000F5897"/>
    <w:rsid w:val="000F5A51"/>
    <w:rsid w:val="000F6268"/>
    <w:rsid w:val="000F6307"/>
    <w:rsid w:val="000F6A27"/>
    <w:rsid w:val="000F7CC5"/>
    <w:rsid w:val="00100469"/>
    <w:rsid w:val="00100630"/>
    <w:rsid w:val="00100838"/>
    <w:rsid w:val="00101434"/>
    <w:rsid w:val="001029A8"/>
    <w:rsid w:val="0010300D"/>
    <w:rsid w:val="00103B90"/>
    <w:rsid w:val="00105552"/>
    <w:rsid w:val="0010655A"/>
    <w:rsid w:val="00106569"/>
    <w:rsid w:val="00107823"/>
    <w:rsid w:val="00110DB1"/>
    <w:rsid w:val="00110FEE"/>
    <w:rsid w:val="00111C3A"/>
    <w:rsid w:val="00111D89"/>
    <w:rsid w:val="0011218E"/>
    <w:rsid w:val="00112744"/>
    <w:rsid w:val="001136CE"/>
    <w:rsid w:val="00113C0A"/>
    <w:rsid w:val="00116225"/>
    <w:rsid w:val="00116D1B"/>
    <w:rsid w:val="001174A0"/>
    <w:rsid w:val="001177F2"/>
    <w:rsid w:val="001179D9"/>
    <w:rsid w:val="0012086F"/>
    <w:rsid w:val="00121BC7"/>
    <w:rsid w:val="001232AA"/>
    <w:rsid w:val="00123C62"/>
    <w:rsid w:val="001243DA"/>
    <w:rsid w:val="0012452A"/>
    <w:rsid w:val="00124913"/>
    <w:rsid w:val="001264C0"/>
    <w:rsid w:val="00126E9C"/>
    <w:rsid w:val="00127727"/>
    <w:rsid w:val="00130574"/>
    <w:rsid w:val="00131CED"/>
    <w:rsid w:val="0013215E"/>
    <w:rsid w:val="00136007"/>
    <w:rsid w:val="00136354"/>
    <w:rsid w:val="00137180"/>
    <w:rsid w:val="001377E1"/>
    <w:rsid w:val="00137DB9"/>
    <w:rsid w:val="001404EA"/>
    <w:rsid w:val="00140D92"/>
    <w:rsid w:val="00141937"/>
    <w:rsid w:val="00141A5C"/>
    <w:rsid w:val="001438E3"/>
    <w:rsid w:val="0014545B"/>
    <w:rsid w:val="0014662E"/>
    <w:rsid w:val="00151300"/>
    <w:rsid w:val="00152EB2"/>
    <w:rsid w:val="00153950"/>
    <w:rsid w:val="00154140"/>
    <w:rsid w:val="0015549E"/>
    <w:rsid w:val="0015595B"/>
    <w:rsid w:val="0015620B"/>
    <w:rsid w:val="00157189"/>
    <w:rsid w:val="00160E99"/>
    <w:rsid w:val="00160EF7"/>
    <w:rsid w:val="00160F95"/>
    <w:rsid w:val="0016118E"/>
    <w:rsid w:val="00163877"/>
    <w:rsid w:val="001640BD"/>
    <w:rsid w:val="001665B4"/>
    <w:rsid w:val="00167FC3"/>
    <w:rsid w:val="00170118"/>
    <w:rsid w:val="00170337"/>
    <w:rsid w:val="0017050C"/>
    <w:rsid w:val="001712C9"/>
    <w:rsid w:val="00171314"/>
    <w:rsid w:val="00171731"/>
    <w:rsid w:val="00171820"/>
    <w:rsid w:val="00171E8F"/>
    <w:rsid w:val="00171F76"/>
    <w:rsid w:val="001723A6"/>
    <w:rsid w:val="00173A43"/>
    <w:rsid w:val="001752F0"/>
    <w:rsid w:val="00175D8D"/>
    <w:rsid w:val="0017717D"/>
    <w:rsid w:val="00177AB4"/>
    <w:rsid w:val="0018117D"/>
    <w:rsid w:val="00181E5F"/>
    <w:rsid w:val="00181E65"/>
    <w:rsid w:val="001820EB"/>
    <w:rsid w:val="00182538"/>
    <w:rsid w:val="00183251"/>
    <w:rsid w:val="00183F9A"/>
    <w:rsid w:val="00184CAA"/>
    <w:rsid w:val="00185140"/>
    <w:rsid w:val="0018514C"/>
    <w:rsid w:val="00185216"/>
    <w:rsid w:val="00185944"/>
    <w:rsid w:val="00185AF1"/>
    <w:rsid w:val="00185B19"/>
    <w:rsid w:val="00186DB3"/>
    <w:rsid w:val="00187199"/>
    <w:rsid w:val="001879B1"/>
    <w:rsid w:val="001905D4"/>
    <w:rsid w:val="00190E39"/>
    <w:rsid w:val="00191951"/>
    <w:rsid w:val="00191A18"/>
    <w:rsid w:val="00194670"/>
    <w:rsid w:val="0019467E"/>
    <w:rsid w:val="001952E3"/>
    <w:rsid w:val="0019560F"/>
    <w:rsid w:val="0019561B"/>
    <w:rsid w:val="0019577F"/>
    <w:rsid w:val="0019781B"/>
    <w:rsid w:val="001A0154"/>
    <w:rsid w:val="001A0561"/>
    <w:rsid w:val="001A0763"/>
    <w:rsid w:val="001A0A28"/>
    <w:rsid w:val="001A1F59"/>
    <w:rsid w:val="001A305C"/>
    <w:rsid w:val="001A543B"/>
    <w:rsid w:val="001B0069"/>
    <w:rsid w:val="001B2977"/>
    <w:rsid w:val="001B4436"/>
    <w:rsid w:val="001B4588"/>
    <w:rsid w:val="001B48C4"/>
    <w:rsid w:val="001B4E09"/>
    <w:rsid w:val="001B57DF"/>
    <w:rsid w:val="001B5B51"/>
    <w:rsid w:val="001B6374"/>
    <w:rsid w:val="001C03CB"/>
    <w:rsid w:val="001C1159"/>
    <w:rsid w:val="001C1A72"/>
    <w:rsid w:val="001C1E1A"/>
    <w:rsid w:val="001C28B8"/>
    <w:rsid w:val="001C3FB5"/>
    <w:rsid w:val="001C4179"/>
    <w:rsid w:val="001C4AC4"/>
    <w:rsid w:val="001C5A59"/>
    <w:rsid w:val="001C63C2"/>
    <w:rsid w:val="001C77E0"/>
    <w:rsid w:val="001D052F"/>
    <w:rsid w:val="001D0AAF"/>
    <w:rsid w:val="001D0B28"/>
    <w:rsid w:val="001D18E3"/>
    <w:rsid w:val="001D2E33"/>
    <w:rsid w:val="001D3559"/>
    <w:rsid w:val="001D3A59"/>
    <w:rsid w:val="001D3D19"/>
    <w:rsid w:val="001D624E"/>
    <w:rsid w:val="001D7F0C"/>
    <w:rsid w:val="001E0CA7"/>
    <w:rsid w:val="001E1045"/>
    <w:rsid w:val="001E1655"/>
    <w:rsid w:val="001E18B7"/>
    <w:rsid w:val="001E3B13"/>
    <w:rsid w:val="001E4464"/>
    <w:rsid w:val="001E45AC"/>
    <w:rsid w:val="001E47EB"/>
    <w:rsid w:val="001E5262"/>
    <w:rsid w:val="001E64EC"/>
    <w:rsid w:val="001E76FB"/>
    <w:rsid w:val="001E7B15"/>
    <w:rsid w:val="001F13B2"/>
    <w:rsid w:val="001F3C7E"/>
    <w:rsid w:val="001F3D8F"/>
    <w:rsid w:val="001F731D"/>
    <w:rsid w:val="001F7D1A"/>
    <w:rsid w:val="0020030B"/>
    <w:rsid w:val="00200E4C"/>
    <w:rsid w:val="00201FB0"/>
    <w:rsid w:val="002024A4"/>
    <w:rsid w:val="0020286A"/>
    <w:rsid w:val="00203C41"/>
    <w:rsid w:val="0020418C"/>
    <w:rsid w:val="00204C34"/>
    <w:rsid w:val="002059E3"/>
    <w:rsid w:val="00206C9F"/>
    <w:rsid w:val="00206F0A"/>
    <w:rsid w:val="00206F25"/>
    <w:rsid w:val="0020731C"/>
    <w:rsid w:val="00210057"/>
    <w:rsid w:val="002106D1"/>
    <w:rsid w:val="00210E4B"/>
    <w:rsid w:val="00212399"/>
    <w:rsid w:val="002128BC"/>
    <w:rsid w:val="00215501"/>
    <w:rsid w:val="00216612"/>
    <w:rsid w:val="002168C3"/>
    <w:rsid w:val="002176A4"/>
    <w:rsid w:val="00221B65"/>
    <w:rsid w:val="00221D00"/>
    <w:rsid w:val="0022452E"/>
    <w:rsid w:val="002254AA"/>
    <w:rsid w:val="00225732"/>
    <w:rsid w:val="00227691"/>
    <w:rsid w:val="002308DE"/>
    <w:rsid w:val="00230F5F"/>
    <w:rsid w:val="00231E5C"/>
    <w:rsid w:val="00233296"/>
    <w:rsid w:val="00234356"/>
    <w:rsid w:val="00236F5A"/>
    <w:rsid w:val="00240233"/>
    <w:rsid w:val="00241AD5"/>
    <w:rsid w:val="00241F78"/>
    <w:rsid w:val="0024273C"/>
    <w:rsid w:val="002434DA"/>
    <w:rsid w:val="002435B9"/>
    <w:rsid w:val="002436A6"/>
    <w:rsid w:val="00245210"/>
    <w:rsid w:val="00246366"/>
    <w:rsid w:val="002467AB"/>
    <w:rsid w:val="0024686E"/>
    <w:rsid w:val="00247C2D"/>
    <w:rsid w:val="00250159"/>
    <w:rsid w:val="00250302"/>
    <w:rsid w:val="0025133A"/>
    <w:rsid w:val="00253265"/>
    <w:rsid w:val="002543F4"/>
    <w:rsid w:val="00255538"/>
    <w:rsid w:val="002569F1"/>
    <w:rsid w:val="002577CA"/>
    <w:rsid w:val="00260FF9"/>
    <w:rsid w:val="00261DFA"/>
    <w:rsid w:val="002622E3"/>
    <w:rsid w:val="0026369D"/>
    <w:rsid w:val="002646B9"/>
    <w:rsid w:val="002652FE"/>
    <w:rsid w:val="00265451"/>
    <w:rsid w:val="002654B3"/>
    <w:rsid w:val="002654B4"/>
    <w:rsid w:val="00266EC8"/>
    <w:rsid w:val="002678BE"/>
    <w:rsid w:val="0027000F"/>
    <w:rsid w:val="002705E3"/>
    <w:rsid w:val="0027173F"/>
    <w:rsid w:val="00272A92"/>
    <w:rsid w:val="002735F5"/>
    <w:rsid w:val="0027365F"/>
    <w:rsid w:val="00274A31"/>
    <w:rsid w:val="00280B78"/>
    <w:rsid w:val="00280E80"/>
    <w:rsid w:val="00281746"/>
    <w:rsid w:val="00282183"/>
    <w:rsid w:val="00282433"/>
    <w:rsid w:val="0028255F"/>
    <w:rsid w:val="0028268E"/>
    <w:rsid w:val="00283655"/>
    <w:rsid w:val="00284D2D"/>
    <w:rsid w:val="002855B4"/>
    <w:rsid w:val="00285C51"/>
    <w:rsid w:val="00286B49"/>
    <w:rsid w:val="0029015D"/>
    <w:rsid w:val="00290298"/>
    <w:rsid w:val="00290713"/>
    <w:rsid w:val="002907F7"/>
    <w:rsid w:val="0029111A"/>
    <w:rsid w:val="002949FB"/>
    <w:rsid w:val="00294D06"/>
    <w:rsid w:val="002953D7"/>
    <w:rsid w:val="00295981"/>
    <w:rsid w:val="00295BFF"/>
    <w:rsid w:val="002962D8"/>
    <w:rsid w:val="0029649B"/>
    <w:rsid w:val="00297671"/>
    <w:rsid w:val="00297C26"/>
    <w:rsid w:val="00297FC7"/>
    <w:rsid w:val="002A14D9"/>
    <w:rsid w:val="002A179D"/>
    <w:rsid w:val="002A2BB7"/>
    <w:rsid w:val="002A388B"/>
    <w:rsid w:val="002A5F8C"/>
    <w:rsid w:val="002A6321"/>
    <w:rsid w:val="002B0BFB"/>
    <w:rsid w:val="002B1784"/>
    <w:rsid w:val="002B468E"/>
    <w:rsid w:val="002B4AC4"/>
    <w:rsid w:val="002B5204"/>
    <w:rsid w:val="002B5AA7"/>
    <w:rsid w:val="002C0702"/>
    <w:rsid w:val="002C0857"/>
    <w:rsid w:val="002C19BF"/>
    <w:rsid w:val="002C3608"/>
    <w:rsid w:val="002C43FB"/>
    <w:rsid w:val="002C58DA"/>
    <w:rsid w:val="002C5B16"/>
    <w:rsid w:val="002C72CE"/>
    <w:rsid w:val="002D01AA"/>
    <w:rsid w:val="002D079B"/>
    <w:rsid w:val="002D248B"/>
    <w:rsid w:val="002D2787"/>
    <w:rsid w:val="002D3FD8"/>
    <w:rsid w:val="002D4165"/>
    <w:rsid w:val="002D4A2A"/>
    <w:rsid w:val="002D4B8C"/>
    <w:rsid w:val="002D57F9"/>
    <w:rsid w:val="002D6501"/>
    <w:rsid w:val="002E01B8"/>
    <w:rsid w:val="002E20AA"/>
    <w:rsid w:val="002E3414"/>
    <w:rsid w:val="002E4BEE"/>
    <w:rsid w:val="002E5073"/>
    <w:rsid w:val="002E5A42"/>
    <w:rsid w:val="002F1883"/>
    <w:rsid w:val="002F2956"/>
    <w:rsid w:val="002F3019"/>
    <w:rsid w:val="002F3149"/>
    <w:rsid w:val="002F42C4"/>
    <w:rsid w:val="002F460C"/>
    <w:rsid w:val="002F4CB6"/>
    <w:rsid w:val="002F60DF"/>
    <w:rsid w:val="002F6D63"/>
    <w:rsid w:val="002F6FB5"/>
    <w:rsid w:val="002F6FE4"/>
    <w:rsid w:val="002F737B"/>
    <w:rsid w:val="002F74AD"/>
    <w:rsid w:val="002F7640"/>
    <w:rsid w:val="002F7B86"/>
    <w:rsid w:val="003005FC"/>
    <w:rsid w:val="00303C1E"/>
    <w:rsid w:val="00303C2D"/>
    <w:rsid w:val="003043B4"/>
    <w:rsid w:val="003050B3"/>
    <w:rsid w:val="00305471"/>
    <w:rsid w:val="00305D75"/>
    <w:rsid w:val="00306BED"/>
    <w:rsid w:val="0030719F"/>
    <w:rsid w:val="0030782B"/>
    <w:rsid w:val="003100EE"/>
    <w:rsid w:val="003101AC"/>
    <w:rsid w:val="003112C2"/>
    <w:rsid w:val="003119EB"/>
    <w:rsid w:val="00312FD5"/>
    <w:rsid w:val="00314D28"/>
    <w:rsid w:val="00314DBC"/>
    <w:rsid w:val="00315666"/>
    <w:rsid w:val="0031586C"/>
    <w:rsid w:val="00315E3E"/>
    <w:rsid w:val="00315E6E"/>
    <w:rsid w:val="003169BB"/>
    <w:rsid w:val="00320415"/>
    <w:rsid w:val="00321E28"/>
    <w:rsid w:val="0032268D"/>
    <w:rsid w:val="0032341F"/>
    <w:rsid w:val="00324E06"/>
    <w:rsid w:val="003258B5"/>
    <w:rsid w:val="00327474"/>
    <w:rsid w:val="003276BC"/>
    <w:rsid w:val="0032786C"/>
    <w:rsid w:val="00327D25"/>
    <w:rsid w:val="0033002E"/>
    <w:rsid w:val="003304B5"/>
    <w:rsid w:val="00330BE4"/>
    <w:rsid w:val="0033177F"/>
    <w:rsid w:val="003319E5"/>
    <w:rsid w:val="0033215C"/>
    <w:rsid w:val="00332CD3"/>
    <w:rsid w:val="00336601"/>
    <w:rsid w:val="00340CA1"/>
    <w:rsid w:val="0034277C"/>
    <w:rsid w:val="00343866"/>
    <w:rsid w:val="00343C4E"/>
    <w:rsid w:val="0034456C"/>
    <w:rsid w:val="00345295"/>
    <w:rsid w:val="00345802"/>
    <w:rsid w:val="00346E93"/>
    <w:rsid w:val="0035007C"/>
    <w:rsid w:val="00354A88"/>
    <w:rsid w:val="00354B1D"/>
    <w:rsid w:val="00355476"/>
    <w:rsid w:val="00355CBF"/>
    <w:rsid w:val="00356F8E"/>
    <w:rsid w:val="0035755B"/>
    <w:rsid w:val="00357818"/>
    <w:rsid w:val="00357F65"/>
    <w:rsid w:val="00360ABE"/>
    <w:rsid w:val="00360E88"/>
    <w:rsid w:val="00361372"/>
    <w:rsid w:val="00363378"/>
    <w:rsid w:val="003653A0"/>
    <w:rsid w:val="00366059"/>
    <w:rsid w:val="003660F2"/>
    <w:rsid w:val="0036769D"/>
    <w:rsid w:val="00367A86"/>
    <w:rsid w:val="003707CA"/>
    <w:rsid w:val="003712DF"/>
    <w:rsid w:val="00372D48"/>
    <w:rsid w:val="00375579"/>
    <w:rsid w:val="0037619D"/>
    <w:rsid w:val="00377483"/>
    <w:rsid w:val="00377E75"/>
    <w:rsid w:val="003807F4"/>
    <w:rsid w:val="00380A5A"/>
    <w:rsid w:val="003825D1"/>
    <w:rsid w:val="00382DB5"/>
    <w:rsid w:val="00384A57"/>
    <w:rsid w:val="00384D44"/>
    <w:rsid w:val="00385010"/>
    <w:rsid w:val="003858E4"/>
    <w:rsid w:val="00386272"/>
    <w:rsid w:val="0038725F"/>
    <w:rsid w:val="003872C7"/>
    <w:rsid w:val="00387BEE"/>
    <w:rsid w:val="00390B12"/>
    <w:rsid w:val="0039176C"/>
    <w:rsid w:val="003921D7"/>
    <w:rsid w:val="00393F7D"/>
    <w:rsid w:val="003942D0"/>
    <w:rsid w:val="00394A1F"/>
    <w:rsid w:val="00395E68"/>
    <w:rsid w:val="00397645"/>
    <w:rsid w:val="00397A23"/>
    <w:rsid w:val="003A0BB4"/>
    <w:rsid w:val="003A2BE3"/>
    <w:rsid w:val="003A364E"/>
    <w:rsid w:val="003A45E1"/>
    <w:rsid w:val="003A4688"/>
    <w:rsid w:val="003A4B05"/>
    <w:rsid w:val="003A504D"/>
    <w:rsid w:val="003A536C"/>
    <w:rsid w:val="003A67E9"/>
    <w:rsid w:val="003A6BBA"/>
    <w:rsid w:val="003A6F4B"/>
    <w:rsid w:val="003A7023"/>
    <w:rsid w:val="003A705A"/>
    <w:rsid w:val="003B0CAB"/>
    <w:rsid w:val="003B29F0"/>
    <w:rsid w:val="003B2E6C"/>
    <w:rsid w:val="003B3A20"/>
    <w:rsid w:val="003B4E26"/>
    <w:rsid w:val="003B5FCE"/>
    <w:rsid w:val="003B60C3"/>
    <w:rsid w:val="003B6E1B"/>
    <w:rsid w:val="003B7120"/>
    <w:rsid w:val="003B76C6"/>
    <w:rsid w:val="003C0129"/>
    <w:rsid w:val="003C0974"/>
    <w:rsid w:val="003C0EF1"/>
    <w:rsid w:val="003C12CE"/>
    <w:rsid w:val="003C165F"/>
    <w:rsid w:val="003C1D76"/>
    <w:rsid w:val="003C2209"/>
    <w:rsid w:val="003C23A3"/>
    <w:rsid w:val="003C3389"/>
    <w:rsid w:val="003C3D63"/>
    <w:rsid w:val="003C5C83"/>
    <w:rsid w:val="003C5DCB"/>
    <w:rsid w:val="003C7CAF"/>
    <w:rsid w:val="003D0369"/>
    <w:rsid w:val="003D044B"/>
    <w:rsid w:val="003D05BC"/>
    <w:rsid w:val="003D115C"/>
    <w:rsid w:val="003D18C7"/>
    <w:rsid w:val="003D1A12"/>
    <w:rsid w:val="003D228B"/>
    <w:rsid w:val="003D3024"/>
    <w:rsid w:val="003D3273"/>
    <w:rsid w:val="003D366C"/>
    <w:rsid w:val="003D4D88"/>
    <w:rsid w:val="003D516B"/>
    <w:rsid w:val="003D5C92"/>
    <w:rsid w:val="003E0340"/>
    <w:rsid w:val="003E3A1B"/>
    <w:rsid w:val="003E42A2"/>
    <w:rsid w:val="003E4459"/>
    <w:rsid w:val="003E48BE"/>
    <w:rsid w:val="003E7A01"/>
    <w:rsid w:val="003E7DB1"/>
    <w:rsid w:val="003E7E5B"/>
    <w:rsid w:val="003F05C8"/>
    <w:rsid w:val="003F284A"/>
    <w:rsid w:val="003F2FB4"/>
    <w:rsid w:val="003F3781"/>
    <w:rsid w:val="003F3E51"/>
    <w:rsid w:val="003F3F9C"/>
    <w:rsid w:val="003F4E77"/>
    <w:rsid w:val="003F521D"/>
    <w:rsid w:val="003F5572"/>
    <w:rsid w:val="003F5A84"/>
    <w:rsid w:val="003F6347"/>
    <w:rsid w:val="003F69C0"/>
    <w:rsid w:val="003F6A34"/>
    <w:rsid w:val="003F79A6"/>
    <w:rsid w:val="0040233E"/>
    <w:rsid w:val="00402958"/>
    <w:rsid w:val="00402FE4"/>
    <w:rsid w:val="00403A52"/>
    <w:rsid w:val="00404CC9"/>
    <w:rsid w:val="00405AD5"/>
    <w:rsid w:val="00406B4F"/>
    <w:rsid w:val="00406B79"/>
    <w:rsid w:val="0040712C"/>
    <w:rsid w:val="004072D6"/>
    <w:rsid w:val="00407A85"/>
    <w:rsid w:val="00407C1E"/>
    <w:rsid w:val="00410034"/>
    <w:rsid w:val="004107EC"/>
    <w:rsid w:val="00411388"/>
    <w:rsid w:val="0041161B"/>
    <w:rsid w:val="0041163E"/>
    <w:rsid w:val="00411AC1"/>
    <w:rsid w:val="00411D89"/>
    <w:rsid w:val="00412365"/>
    <w:rsid w:val="004125B5"/>
    <w:rsid w:val="0041439E"/>
    <w:rsid w:val="00414573"/>
    <w:rsid w:val="00415169"/>
    <w:rsid w:val="004153CA"/>
    <w:rsid w:val="0041597B"/>
    <w:rsid w:val="0041724C"/>
    <w:rsid w:val="00417B3D"/>
    <w:rsid w:val="00417C14"/>
    <w:rsid w:val="00420B41"/>
    <w:rsid w:val="004210A1"/>
    <w:rsid w:val="00422D8F"/>
    <w:rsid w:val="004239CA"/>
    <w:rsid w:val="00424883"/>
    <w:rsid w:val="00425846"/>
    <w:rsid w:val="0042772E"/>
    <w:rsid w:val="004277B9"/>
    <w:rsid w:val="004304EE"/>
    <w:rsid w:val="00430D13"/>
    <w:rsid w:val="00432DBC"/>
    <w:rsid w:val="004340CB"/>
    <w:rsid w:val="00434876"/>
    <w:rsid w:val="0043534C"/>
    <w:rsid w:val="00435BAF"/>
    <w:rsid w:val="00435F3E"/>
    <w:rsid w:val="00437D71"/>
    <w:rsid w:val="00437FD3"/>
    <w:rsid w:val="00440185"/>
    <w:rsid w:val="00440225"/>
    <w:rsid w:val="00440E8A"/>
    <w:rsid w:val="00441194"/>
    <w:rsid w:val="00441330"/>
    <w:rsid w:val="00441680"/>
    <w:rsid w:val="00441991"/>
    <w:rsid w:val="0044286F"/>
    <w:rsid w:val="0044395C"/>
    <w:rsid w:val="00445AB5"/>
    <w:rsid w:val="00445B48"/>
    <w:rsid w:val="00446097"/>
    <w:rsid w:val="004462F2"/>
    <w:rsid w:val="00446D9C"/>
    <w:rsid w:val="00447D66"/>
    <w:rsid w:val="00451A10"/>
    <w:rsid w:val="00451DCE"/>
    <w:rsid w:val="00453595"/>
    <w:rsid w:val="00453D43"/>
    <w:rsid w:val="00454F1A"/>
    <w:rsid w:val="00455A8E"/>
    <w:rsid w:val="00457FC1"/>
    <w:rsid w:val="00460603"/>
    <w:rsid w:val="00464861"/>
    <w:rsid w:val="00465D55"/>
    <w:rsid w:val="00466360"/>
    <w:rsid w:val="00466DAF"/>
    <w:rsid w:val="004670E4"/>
    <w:rsid w:val="00467C72"/>
    <w:rsid w:val="004703C9"/>
    <w:rsid w:val="00470AE5"/>
    <w:rsid w:val="004712FA"/>
    <w:rsid w:val="004719A6"/>
    <w:rsid w:val="00472D85"/>
    <w:rsid w:val="00473888"/>
    <w:rsid w:val="00476BAE"/>
    <w:rsid w:val="00477358"/>
    <w:rsid w:val="00477D1A"/>
    <w:rsid w:val="00480D50"/>
    <w:rsid w:val="00480DC8"/>
    <w:rsid w:val="00481C66"/>
    <w:rsid w:val="0048338A"/>
    <w:rsid w:val="00484B33"/>
    <w:rsid w:val="00484B47"/>
    <w:rsid w:val="0048512D"/>
    <w:rsid w:val="00485652"/>
    <w:rsid w:val="00485BF6"/>
    <w:rsid w:val="004864B9"/>
    <w:rsid w:val="00486F3D"/>
    <w:rsid w:val="00487944"/>
    <w:rsid w:val="00487A7F"/>
    <w:rsid w:val="00490691"/>
    <w:rsid w:val="00490AA9"/>
    <w:rsid w:val="004912E0"/>
    <w:rsid w:val="00491903"/>
    <w:rsid w:val="0049250E"/>
    <w:rsid w:val="004926BE"/>
    <w:rsid w:val="00493ACA"/>
    <w:rsid w:val="00493D76"/>
    <w:rsid w:val="00493EF9"/>
    <w:rsid w:val="004957AA"/>
    <w:rsid w:val="00495875"/>
    <w:rsid w:val="00495AF7"/>
    <w:rsid w:val="00495D60"/>
    <w:rsid w:val="00495EB2"/>
    <w:rsid w:val="004A207A"/>
    <w:rsid w:val="004A336A"/>
    <w:rsid w:val="004A4227"/>
    <w:rsid w:val="004A43DB"/>
    <w:rsid w:val="004A5434"/>
    <w:rsid w:val="004A5E1F"/>
    <w:rsid w:val="004A6029"/>
    <w:rsid w:val="004A73AE"/>
    <w:rsid w:val="004A7B70"/>
    <w:rsid w:val="004B24A4"/>
    <w:rsid w:val="004B2C04"/>
    <w:rsid w:val="004B300D"/>
    <w:rsid w:val="004B4CFF"/>
    <w:rsid w:val="004B6655"/>
    <w:rsid w:val="004B7C58"/>
    <w:rsid w:val="004C077D"/>
    <w:rsid w:val="004C0979"/>
    <w:rsid w:val="004C15D6"/>
    <w:rsid w:val="004C3CD0"/>
    <w:rsid w:val="004C3EC2"/>
    <w:rsid w:val="004C444D"/>
    <w:rsid w:val="004C5340"/>
    <w:rsid w:val="004C5B10"/>
    <w:rsid w:val="004C6347"/>
    <w:rsid w:val="004C64D1"/>
    <w:rsid w:val="004D1BB7"/>
    <w:rsid w:val="004D2048"/>
    <w:rsid w:val="004D27B2"/>
    <w:rsid w:val="004D2841"/>
    <w:rsid w:val="004D4D52"/>
    <w:rsid w:val="004D6F82"/>
    <w:rsid w:val="004D7C6A"/>
    <w:rsid w:val="004E0A6A"/>
    <w:rsid w:val="004E1660"/>
    <w:rsid w:val="004E21E2"/>
    <w:rsid w:val="004E27CB"/>
    <w:rsid w:val="004E373D"/>
    <w:rsid w:val="004E41A6"/>
    <w:rsid w:val="004E41D7"/>
    <w:rsid w:val="004E6614"/>
    <w:rsid w:val="004E689F"/>
    <w:rsid w:val="004E7702"/>
    <w:rsid w:val="004E77BF"/>
    <w:rsid w:val="004E7BDE"/>
    <w:rsid w:val="004F16B0"/>
    <w:rsid w:val="004F1ABB"/>
    <w:rsid w:val="004F1BAB"/>
    <w:rsid w:val="004F2751"/>
    <w:rsid w:val="004F4EB4"/>
    <w:rsid w:val="004F53E3"/>
    <w:rsid w:val="004F5AC9"/>
    <w:rsid w:val="004F7699"/>
    <w:rsid w:val="004F76FB"/>
    <w:rsid w:val="004F7EED"/>
    <w:rsid w:val="00502B31"/>
    <w:rsid w:val="00503139"/>
    <w:rsid w:val="00504629"/>
    <w:rsid w:val="005049D7"/>
    <w:rsid w:val="00504B40"/>
    <w:rsid w:val="005051B7"/>
    <w:rsid w:val="00505B23"/>
    <w:rsid w:val="0050689E"/>
    <w:rsid w:val="00506EB2"/>
    <w:rsid w:val="0050784A"/>
    <w:rsid w:val="00507FDD"/>
    <w:rsid w:val="00512845"/>
    <w:rsid w:val="00513F57"/>
    <w:rsid w:val="005146BB"/>
    <w:rsid w:val="00516DFB"/>
    <w:rsid w:val="00516FAA"/>
    <w:rsid w:val="005205F2"/>
    <w:rsid w:val="00520D7D"/>
    <w:rsid w:val="00523189"/>
    <w:rsid w:val="005239C8"/>
    <w:rsid w:val="00523A4E"/>
    <w:rsid w:val="0052430B"/>
    <w:rsid w:val="0052600B"/>
    <w:rsid w:val="00530CF4"/>
    <w:rsid w:val="005343DC"/>
    <w:rsid w:val="00536E4A"/>
    <w:rsid w:val="00537922"/>
    <w:rsid w:val="00541E2E"/>
    <w:rsid w:val="00543756"/>
    <w:rsid w:val="00543F68"/>
    <w:rsid w:val="005449CE"/>
    <w:rsid w:val="0055098D"/>
    <w:rsid w:val="00550CAE"/>
    <w:rsid w:val="0055348E"/>
    <w:rsid w:val="0055388F"/>
    <w:rsid w:val="00553C24"/>
    <w:rsid w:val="00555141"/>
    <w:rsid w:val="00555E84"/>
    <w:rsid w:val="00556D6A"/>
    <w:rsid w:val="005600A7"/>
    <w:rsid w:val="00561775"/>
    <w:rsid w:val="00562479"/>
    <w:rsid w:val="0056291C"/>
    <w:rsid w:val="0056348C"/>
    <w:rsid w:val="00564EA1"/>
    <w:rsid w:val="005651E8"/>
    <w:rsid w:val="00566607"/>
    <w:rsid w:val="0056692C"/>
    <w:rsid w:val="00567297"/>
    <w:rsid w:val="00567B24"/>
    <w:rsid w:val="005711FA"/>
    <w:rsid w:val="0057157B"/>
    <w:rsid w:val="005742B4"/>
    <w:rsid w:val="00574496"/>
    <w:rsid w:val="00574C26"/>
    <w:rsid w:val="005807BC"/>
    <w:rsid w:val="005816C2"/>
    <w:rsid w:val="00582260"/>
    <w:rsid w:val="00583089"/>
    <w:rsid w:val="0058571C"/>
    <w:rsid w:val="00585E0E"/>
    <w:rsid w:val="0058675E"/>
    <w:rsid w:val="00586B46"/>
    <w:rsid w:val="0059012D"/>
    <w:rsid w:val="005905C0"/>
    <w:rsid w:val="00591CFB"/>
    <w:rsid w:val="0059264D"/>
    <w:rsid w:val="005931D7"/>
    <w:rsid w:val="00594852"/>
    <w:rsid w:val="00595021"/>
    <w:rsid w:val="0059555F"/>
    <w:rsid w:val="005973B7"/>
    <w:rsid w:val="005A1A71"/>
    <w:rsid w:val="005A4E83"/>
    <w:rsid w:val="005A5548"/>
    <w:rsid w:val="005A7564"/>
    <w:rsid w:val="005A78A6"/>
    <w:rsid w:val="005A79F7"/>
    <w:rsid w:val="005B02BD"/>
    <w:rsid w:val="005B0635"/>
    <w:rsid w:val="005B0F94"/>
    <w:rsid w:val="005B1CFC"/>
    <w:rsid w:val="005B248A"/>
    <w:rsid w:val="005B29DC"/>
    <w:rsid w:val="005B3DAE"/>
    <w:rsid w:val="005B419B"/>
    <w:rsid w:val="005B667D"/>
    <w:rsid w:val="005B6F53"/>
    <w:rsid w:val="005B7BA1"/>
    <w:rsid w:val="005C1EA0"/>
    <w:rsid w:val="005C21A0"/>
    <w:rsid w:val="005C2369"/>
    <w:rsid w:val="005C2FE3"/>
    <w:rsid w:val="005C3D95"/>
    <w:rsid w:val="005C4EAA"/>
    <w:rsid w:val="005C5A6A"/>
    <w:rsid w:val="005C6071"/>
    <w:rsid w:val="005C6C14"/>
    <w:rsid w:val="005C711C"/>
    <w:rsid w:val="005D13CC"/>
    <w:rsid w:val="005D18E2"/>
    <w:rsid w:val="005D1A25"/>
    <w:rsid w:val="005D217B"/>
    <w:rsid w:val="005D25C7"/>
    <w:rsid w:val="005D505C"/>
    <w:rsid w:val="005D5EE7"/>
    <w:rsid w:val="005D6B55"/>
    <w:rsid w:val="005D753A"/>
    <w:rsid w:val="005E02F0"/>
    <w:rsid w:val="005E03C7"/>
    <w:rsid w:val="005E1B3B"/>
    <w:rsid w:val="005E1BD3"/>
    <w:rsid w:val="005E2854"/>
    <w:rsid w:val="005E2A3E"/>
    <w:rsid w:val="005E3676"/>
    <w:rsid w:val="005E3942"/>
    <w:rsid w:val="005E43A5"/>
    <w:rsid w:val="005F0719"/>
    <w:rsid w:val="005F111C"/>
    <w:rsid w:val="005F2943"/>
    <w:rsid w:val="005F6053"/>
    <w:rsid w:val="005F687D"/>
    <w:rsid w:val="005F6E3E"/>
    <w:rsid w:val="005F7A4C"/>
    <w:rsid w:val="006011F4"/>
    <w:rsid w:val="00601942"/>
    <w:rsid w:val="00601FF8"/>
    <w:rsid w:val="00602222"/>
    <w:rsid w:val="0060397D"/>
    <w:rsid w:val="006043BE"/>
    <w:rsid w:val="00604B22"/>
    <w:rsid w:val="00604E01"/>
    <w:rsid w:val="00605B26"/>
    <w:rsid w:val="00605DA3"/>
    <w:rsid w:val="006064DC"/>
    <w:rsid w:val="00607185"/>
    <w:rsid w:val="00607488"/>
    <w:rsid w:val="006076F3"/>
    <w:rsid w:val="00610812"/>
    <w:rsid w:val="006110DA"/>
    <w:rsid w:val="00611CA7"/>
    <w:rsid w:val="00612CB7"/>
    <w:rsid w:val="00614857"/>
    <w:rsid w:val="00616F3E"/>
    <w:rsid w:val="00617679"/>
    <w:rsid w:val="00620D65"/>
    <w:rsid w:val="00621794"/>
    <w:rsid w:val="006218D4"/>
    <w:rsid w:val="00621C7C"/>
    <w:rsid w:val="00623B3F"/>
    <w:rsid w:val="00626797"/>
    <w:rsid w:val="00626F60"/>
    <w:rsid w:val="006277A5"/>
    <w:rsid w:val="006277ED"/>
    <w:rsid w:val="00631E72"/>
    <w:rsid w:val="00632869"/>
    <w:rsid w:val="00632BCF"/>
    <w:rsid w:val="0063354F"/>
    <w:rsid w:val="00633C9B"/>
    <w:rsid w:val="006347FA"/>
    <w:rsid w:val="006349F2"/>
    <w:rsid w:val="00634F6F"/>
    <w:rsid w:val="0063537B"/>
    <w:rsid w:val="00635700"/>
    <w:rsid w:val="00635C46"/>
    <w:rsid w:val="00635CB4"/>
    <w:rsid w:val="00635EA0"/>
    <w:rsid w:val="00637598"/>
    <w:rsid w:val="00640A0E"/>
    <w:rsid w:val="006415A4"/>
    <w:rsid w:val="006416F7"/>
    <w:rsid w:val="00641808"/>
    <w:rsid w:val="00641EBE"/>
    <w:rsid w:val="006429D6"/>
    <w:rsid w:val="006432B8"/>
    <w:rsid w:val="0064421A"/>
    <w:rsid w:val="006446FE"/>
    <w:rsid w:val="006447A4"/>
    <w:rsid w:val="00644806"/>
    <w:rsid w:val="006464FF"/>
    <w:rsid w:val="00646B8A"/>
    <w:rsid w:val="00647B73"/>
    <w:rsid w:val="00650CBA"/>
    <w:rsid w:val="00650F2E"/>
    <w:rsid w:val="00654891"/>
    <w:rsid w:val="00654CC9"/>
    <w:rsid w:val="00656404"/>
    <w:rsid w:val="006608BA"/>
    <w:rsid w:val="00660918"/>
    <w:rsid w:val="00661036"/>
    <w:rsid w:val="00661BEA"/>
    <w:rsid w:val="006653B4"/>
    <w:rsid w:val="00666B6D"/>
    <w:rsid w:val="00666EFA"/>
    <w:rsid w:val="00670287"/>
    <w:rsid w:val="00671754"/>
    <w:rsid w:val="00671FF5"/>
    <w:rsid w:val="0067526D"/>
    <w:rsid w:val="006760D4"/>
    <w:rsid w:val="00676543"/>
    <w:rsid w:val="00676567"/>
    <w:rsid w:val="00676D52"/>
    <w:rsid w:val="00676E36"/>
    <w:rsid w:val="00676EA7"/>
    <w:rsid w:val="0067703F"/>
    <w:rsid w:val="00677100"/>
    <w:rsid w:val="00680370"/>
    <w:rsid w:val="006811DD"/>
    <w:rsid w:val="0068165B"/>
    <w:rsid w:val="00681886"/>
    <w:rsid w:val="00681EEF"/>
    <w:rsid w:val="00682281"/>
    <w:rsid w:val="00683B0F"/>
    <w:rsid w:val="00683B6C"/>
    <w:rsid w:val="00684558"/>
    <w:rsid w:val="00684F3F"/>
    <w:rsid w:val="00686020"/>
    <w:rsid w:val="00687355"/>
    <w:rsid w:val="00687B6B"/>
    <w:rsid w:val="00690B0F"/>
    <w:rsid w:val="00691144"/>
    <w:rsid w:val="00691266"/>
    <w:rsid w:val="00691D94"/>
    <w:rsid w:val="00694DBD"/>
    <w:rsid w:val="00696D6F"/>
    <w:rsid w:val="0069743D"/>
    <w:rsid w:val="00697505"/>
    <w:rsid w:val="006A01E4"/>
    <w:rsid w:val="006A0BFD"/>
    <w:rsid w:val="006A0E94"/>
    <w:rsid w:val="006A1FCB"/>
    <w:rsid w:val="006A2B87"/>
    <w:rsid w:val="006A4B27"/>
    <w:rsid w:val="006A51B0"/>
    <w:rsid w:val="006A6553"/>
    <w:rsid w:val="006A6E73"/>
    <w:rsid w:val="006A7DCB"/>
    <w:rsid w:val="006B21C4"/>
    <w:rsid w:val="006B22C9"/>
    <w:rsid w:val="006B24CB"/>
    <w:rsid w:val="006B3121"/>
    <w:rsid w:val="006B4D70"/>
    <w:rsid w:val="006B537A"/>
    <w:rsid w:val="006B5506"/>
    <w:rsid w:val="006B64A9"/>
    <w:rsid w:val="006B6907"/>
    <w:rsid w:val="006B6F47"/>
    <w:rsid w:val="006C0839"/>
    <w:rsid w:val="006C208E"/>
    <w:rsid w:val="006C29A0"/>
    <w:rsid w:val="006C3360"/>
    <w:rsid w:val="006C4EE1"/>
    <w:rsid w:val="006D20C2"/>
    <w:rsid w:val="006D2424"/>
    <w:rsid w:val="006D2BB3"/>
    <w:rsid w:val="006D2FB0"/>
    <w:rsid w:val="006D4160"/>
    <w:rsid w:val="006D526B"/>
    <w:rsid w:val="006D5F44"/>
    <w:rsid w:val="006E30DB"/>
    <w:rsid w:val="006E4B8C"/>
    <w:rsid w:val="006E6029"/>
    <w:rsid w:val="006E774C"/>
    <w:rsid w:val="006E79DB"/>
    <w:rsid w:val="006F1295"/>
    <w:rsid w:val="006F37A4"/>
    <w:rsid w:val="006F43AD"/>
    <w:rsid w:val="006F5342"/>
    <w:rsid w:val="006F5A81"/>
    <w:rsid w:val="006F6621"/>
    <w:rsid w:val="006F6D54"/>
    <w:rsid w:val="006F7A92"/>
    <w:rsid w:val="007005EA"/>
    <w:rsid w:val="007021BA"/>
    <w:rsid w:val="00703C5A"/>
    <w:rsid w:val="00703FA9"/>
    <w:rsid w:val="007041A5"/>
    <w:rsid w:val="00704367"/>
    <w:rsid w:val="00707064"/>
    <w:rsid w:val="00707960"/>
    <w:rsid w:val="0071021E"/>
    <w:rsid w:val="00710FD1"/>
    <w:rsid w:val="0071197F"/>
    <w:rsid w:val="00712458"/>
    <w:rsid w:val="00712BF9"/>
    <w:rsid w:val="00712E6E"/>
    <w:rsid w:val="007131E5"/>
    <w:rsid w:val="00714AD4"/>
    <w:rsid w:val="00715ECC"/>
    <w:rsid w:val="007161C5"/>
    <w:rsid w:val="00717E7B"/>
    <w:rsid w:val="00720233"/>
    <w:rsid w:val="0072125C"/>
    <w:rsid w:val="00721716"/>
    <w:rsid w:val="00721D9E"/>
    <w:rsid w:val="00721DFE"/>
    <w:rsid w:val="0072252D"/>
    <w:rsid w:val="00723592"/>
    <w:rsid w:val="0072450E"/>
    <w:rsid w:val="00724B1F"/>
    <w:rsid w:val="007251D6"/>
    <w:rsid w:val="00726E74"/>
    <w:rsid w:val="00727E61"/>
    <w:rsid w:val="00730786"/>
    <w:rsid w:val="00731856"/>
    <w:rsid w:val="00731E2F"/>
    <w:rsid w:val="007324DA"/>
    <w:rsid w:val="00733DEE"/>
    <w:rsid w:val="00733EBB"/>
    <w:rsid w:val="00734F5E"/>
    <w:rsid w:val="00735FD9"/>
    <w:rsid w:val="0073660B"/>
    <w:rsid w:val="007366D4"/>
    <w:rsid w:val="00742381"/>
    <w:rsid w:val="00742512"/>
    <w:rsid w:val="00743482"/>
    <w:rsid w:val="00744F3B"/>
    <w:rsid w:val="00745FCE"/>
    <w:rsid w:val="007468A3"/>
    <w:rsid w:val="00746F66"/>
    <w:rsid w:val="0074701C"/>
    <w:rsid w:val="007471FE"/>
    <w:rsid w:val="00750696"/>
    <w:rsid w:val="00750CCC"/>
    <w:rsid w:val="00750E14"/>
    <w:rsid w:val="00752A8C"/>
    <w:rsid w:val="00752D98"/>
    <w:rsid w:val="00754A75"/>
    <w:rsid w:val="00754BFF"/>
    <w:rsid w:val="007553C4"/>
    <w:rsid w:val="00756356"/>
    <w:rsid w:val="0075698D"/>
    <w:rsid w:val="00757726"/>
    <w:rsid w:val="0076255C"/>
    <w:rsid w:val="00763C2E"/>
    <w:rsid w:val="00763DD9"/>
    <w:rsid w:val="00763F29"/>
    <w:rsid w:val="00764DF7"/>
    <w:rsid w:val="00765BED"/>
    <w:rsid w:val="00770F25"/>
    <w:rsid w:val="00771B8A"/>
    <w:rsid w:val="00771CE1"/>
    <w:rsid w:val="00771F3B"/>
    <w:rsid w:val="007722AA"/>
    <w:rsid w:val="007744DF"/>
    <w:rsid w:val="007744FD"/>
    <w:rsid w:val="00774801"/>
    <w:rsid w:val="00775024"/>
    <w:rsid w:val="0077635E"/>
    <w:rsid w:val="0077667A"/>
    <w:rsid w:val="0077722D"/>
    <w:rsid w:val="00781153"/>
    <w:rsid w:val="00785133"/>
    <w:rsid w:val="007852F7"/>
    <w:rsid w:val="00785311"/>
    <w:rsid w:val="00785BCA"/>
    <w:rsid w:val="00786ED1"/>
    <w:rsid w:val="007920B9"/>
    <w:rsid w:val="007932A4"/>
    <w:rsid w:val="007938F9"/>
    <w:rsid w:val="007950A0"/>
    <w:rsid w:val="00796059"/>
    <w:rsid w:val="00796689"/>
    <w:rsid w:val="007A0312"/>
    <w:rsid w:val="007A0ACB"/>
    <w:rsid w:val="007A157C"/>
    <w:rsid w:val="007A3032"/>
    <w:rsid w:val="007A632D"/>
    <w:rsid w:val="007B2651"/>
    <w:rsid w:val="007B2F47"/>
    <w:rsid w:val="007B359A"/>
    <w:rsid w:val="007B3BF1"/>
    <w:rsid w:val="007B415B"/>
    <w:rsid w:val="007B45F4"/>
    <w:rsid w:val="007B45F5"/>
    <w:rsid w:val="007B5076"/>
    <w:rsid w:val="007B59E0"/>
    <w:rsid w:val="007B700E"/>
    <w:rsid w:val="007B738F"/>
    <w:rsid w:val="007C05EC"/>
    <w:rsid w:val="007C25E1"/>
    <w:rsid w:val="007C2800"/>
    <w:rsid w:val="007C3BEF"/>
    <w:rsid w:val="007C657A"/>
    <w:rsid w:val="007C6AE3"/>
    <w:rsid w:val="007D0EF8"/>
    <w:rsid w:val="007D19AA"/>
    <w:rsid w:val="007D1C0A"/>
    <w:rsid w:val="007D1CB6"/>
    <w:rsid w:val="007D2CC6"/>
    <w:rsid w:val="007D2E96"/>
    <w:rsid w:val="007D3739"/>
    <w:rsid w:val="007D3871"/>
    <w:rsid w:val="007D43F8"/>
    <w:rsid w:val="007D5585"/>
    <w:rsid w:val="007D7A02"/>
    <w:rsid w:val="007E1C4A"/>
    <w:rsid w:val="007E249C"/>
    <w:rsid w:val="007E3DB3"/>
    <w:rsid w:val="007E454A"/>
    <w:rsid w:val="007E514E"/>
    <w:rsid w:val="007E5DF5"/>
    <w:rsid w:val="007E6EC4"/>
    <w:rsid w:val="007F0605"/>
    <w:rsid w:val="007F0E0A"/>
    <w:rsid w:val="007F130C"/>
    <w:rsid w:val="007F15FA"/>
    <w:rsid w:val="007F3A1E"/>
    <w:rsid w:val="007F3FC4"/>
    <w:rsid w:val="007F4483"/>
    <w:rsid w:val="007F4499"/>
    <w:rsid w:val="007F4D83"/>
    <w:rsid w:val="007F5A2E"/>
    <w:rsid w:val="007F7710"/>
    <w:rsid w:val="00800966"/>
    <w:rsid w:val="00800EC5"/>
    <w:rsid w:val="00803137"/>
    <w:rsid w:val="0080314E"/>
    <w:rsid w:val="00803FAC"/>
    <w:rsid w:val="008053EB"/>
    <w:rsid w:val="00805518"/>
    <w:rsid w:val="0080559D"/>
    <w:rsid w:val="00805EEB"/>
    <w:rsid w:val="008061FF"/>
    <w:rsid w:val="008063F9"/>
    <w:rsid w:val="00807073"/>
    <w:rsid w:val="00810158"/>
    <w:rsid w:val="008128CD"/>
    <w:rsid w:val="00812D2C"/>
    <w:rsid w:val="008130E8"/>
    <w:rsid w:val="0081333F"/>
    <w:rsid w:val="00813956"/>
    <w:rsid w:val="00814ABF"/>
    <w:rsid w:val="0081701C"/>
    <w:rsid w:val="00817586"/>
    <w:rsid w:val="00817DC6"/>
    <w:rsid w:val="00820AE5"/>
    <w:rsid w:val="00820C67"/>
    <w:rsid w:val="0082115D"/>
    <w:rsid w:val="008223D5"/>
    <w:rsid w:val="00824BA2"/>
    <w:rsid w:val="00825823"/>
    <w:rsid w:val="00825ACF"/>
    <w:rsid w:val="00825D59"/>
    <w:rsid w:val="00826526"/>
    <w:rsid w:val="008279F4"/>
    <w:rsid w:val="00827AE9"/>
    <w:rsid w:val="0083079F"/>
    <w:rsid w:val="0083110B"/>
    <w:rsid w:val="0083114C"/>
    <w:rsid w:val="008312C5"/>
    <w:rsid w:val="00831C2E"/>
    <w:rsid w:val="00832FB8"/>
    <w:rsid w:val="0083372B"/>
    <w:rsid w:val="00834072"/>
    <w:rsid w:val="0083463F"/>
    <w:rsid w:val="00835B5A"/>
    <w:rsid w:val="00836A6F"/>
    <w:rsid w:val="00836CC7"/>
    <w:rsid w:val="00840195"/>
    <w:rsid w:val="0084099F"/>
    <w:rsid w:val="00843599"/>
    <w:rsid w:val="00844E70"/>
    <w:rsid w:val="008451A0"/>
    <w:rsid w:val="00846EC1"/>
    <w:rsid w:val="008500C1"/>
    <w:rsid w:val="00850D66"/>
    <w:rsid w:val="00850F1A"/>
    <w:rsid w:val="00852306"/>
    <w:rsid w:val="0085262A"/>
    <w:rsid w:val="00852A6A"/>
    <w:rsid w:val="008533C3"/>
    <w:rsid w:val="00853662"/>
    <w:rsid w:val="00853BFB"/>
    <w:rsid w:val="00855263"/>
    <w:rsid w:val="00855487"/>
    <w:rsid w:val="0085623A"/>
    <w:rsid w:val="00856524"/>
    <w:rsid w:val="0085692B"/>
    <w:rsid w:val="008570BD"/>
    <w:rsid w:val="00861291"/>
    <w:rsid w:val="0086189E"/>
    <w:rsid w:val="00862171"/>
    <w:rsid w:val="00862607"/>
    <w:rsid w:val="00863FA9"/>
    <w:rsid w:val="00867BA4"/>
    <w:rsid w:val="008702F9"/>
    <w:rsid w:val="0087176C"/>
    <w:rsid w:val="0087384F"/>
    <w:rsid w:val="00874618"/>
    <w:rsid w:val="008763C0"/>
    <w:rsid w:val="008771A9"/>
    <w:rsid w:val="008802C0"/>
    <w:rsid w:val="00880FC1"/>
    <w:rsid w:val="008814F0"/>
    <w:rsid w:val="00882473"/>
    <w:rsid w:val="00882552"/>
    <w:rsid w:val="008838FB"/>
    <w:rsid w:val="00884B20"/>
    <w:rsid w:val="00885614"/>
    <w:rsid w:val="008857FC"/>
    <w:rsid w:val="00885B4C"/>
    <w:rsid w:val="00885F2C"/>
    <w:rsid w:val="008868A5"/>
    <w:rsid w:val="0088728D"/>
    <w:rsid w:val="00887C9C"/>
    <w:rsid w:val="00890980"/>
    <w:rsid w:val="008915E9"/>
    <w:rsid w:val="0089283B"/>
    <w:rsid w:val="008928C9"/>
    <w:rsid w:val="0089455C"/>
    <w:rsid w:val="00894D7F"/>
    <w:rsid w:val="00895BCE"/>
    <w:rsid w:val="00895E06"/>
    <w:rsid w:val="00897DD9"/>
    <w:rsid w:val="008A03D4"/>
    <w:rsid w:val="008A1976"/>
    <w:rsid w:val="008A30AB"/>
    <w:rsid w:val="008A3EC3"/>
    <w:rsid w:val="008A44AC"/>
    <w:rsid w:val="008A4945"/>
    <w:rsid w:val="008A4D01"/>
    <w:rsid w:val="008A5C41"/>
    <w:rsid w:val="008A760D"/>
    <w:rsid w:val="008A7C16"/>
    <w:rsid w:val="008B0403"/>
    <w:rsid w:val="008B0959"/>
    <w:rsid w:val="008B119F"/>
    <w:rsid w:val="008B13FF"/>
    <w:rsid w:val="008B161C"/>
    <w:rsid w:val="008B2098"/>
    <w:rsid w:val="008B23BE"/>
    <w:rsid w:val="008B25EC"/>
    <w:rsid w:val="008B28E6"/>
    <w:rsid w:val="008B39AE"/>
    <w:rsid w:val="008B5929"/>
    <w:rsid w:val="008B64CB"/>
    <w:rsid w:val="008B6E11"/>
    <w:rsid w:val="008B73EE"/>
    <w:rsid w:val="008B7BEF"/>
    <w:rsid w:val="008C0794"/>
    <w:rsid w:val="008C1429"/>
    <w:rsid w:val="008C1BC6"/>
    <w:rsid w:val="008C236D"/>
    <w:rsid w:val="008C238E"/>
    <w:rsid w:val="008C3742"/>
    <w:rsid w:val="008C3CBB"/>
    <w:rsid w:val="008C4962"/>
    <w:rsid w:val="008D12C5"/>
    <w:rsid w:val="008D1A1A"/>
    <w:rsid w:val="008D20F7"/>
    <w:rsid w:val="008D29A2"/>
    <w:rsid w:val="008D5101"/>
    <w:rsid w:val="008D5DBE"/>
    <w:rsid w:val="008D7B0C"/>
    <w:rsid w:val="008E06CD"/>
    <w:rsid w:val="008E0770"/>
    <w:rsid w:val="008E0BB9"/>
    <w:rsid w:val="008E0BBD"/>
    <w:rsid w:val="008E2A29"/>
    <w:rsid w:val="008E41A6"/>
    <w:rsid w:val="008E60E5"/>
    <w:rsid w:val="008E6C0D"/>
    <w:rsid w:val="008E70A7"/>
    <w:rsid w:val="008E74B4"/>
    <w:rsid w:val="008F088A"/>
    <w:rsid w:val="008F1087"/>
    <w:rsid w:val="008F1C35"/>
    <w:rsid w:val="008F1DA4"/>
    <w:rsid w:val="008F2608"/>
    <w:rsid w:val="008F2E17"/>
    <w:rsid w:val="008F3319"/>
    <w:rsid w:val="008F6101"/>
    <w:rsid w:val="008F6ED7"/>
    <w:rsid w:val="008F721C"/>
    <w:rsid w:val="008F7E7F"/>
    <w:rsid w:val="0090027D"/>
    <w:rsid w:val="0090165E"/>
    <w:rsid w:val="009028FC"/>
    <w:rsid w:val="00903907"/>
    <w:rsid w:val="00903B96"/>
    <w:rsid w:val="00904B17"/>
    <w:rsid w:val="0090544A"/>
    <w:rsid w:val="00905627"/>
    <w:rsid w:val="00910655"/>
    <w:rsid w:val="00910824"/>
    <w:rsid w:val="00911360"/>
    <w:rsid w:val="00912429"/>
    <w:rsid w:val="00912C63"/>
    <w:rsid w:val="0091368D"/>
    <w:rsid w:val="0091427E"/>
    <w:rsid w:val="009169BC"/>
    <w:rsid w:val="00917A25"/>
    <w:rsid w:val="00920BE6"/>
    <w:rsid w:val="009210A4"/>
    <w:rsid w:val="00921C62"/>
    <w:rsid w:val="00922C62"/>
    <w:rsid w:val="00925340"/>
    <w:rsid w:val="00926A1A"/>
    <w:rsid w:val="00927F2B"/>
    <w:rsid w:val="00930582"/>
    <w:rsid w:val="00930FB3"/>
    <w:rsid w:val="0093120D"/>
    <w:rsid w:val="0093177E"/>
    <w:rsid w:val="00932321"/>
    <w:rsid w:val="00932C9F"/>
    <w:rsid w:val="0093323C"/>
    <w:rsid w:val="00933DAA"/>
    <w:rsid w:val="00940589"/>
    <w:rsid w:val="00942667"/>
    <w:rsid w:val="00943ABF"/>
    <w:rsid w:val="00945AD5"/>
    <w:rsid w:val="00945B39"/>
    <w:rsid w:val="009461F0"/>
    <w:rsid w:val="00946EAA"/>
    <w:rsid w:val="00947023"/>
    <w:rsid w:val="009470EB"/>
    <w:rsid w:val="00947BAA"/>
    <w:rsid w:val="00947DB6"/>
    <w:rsid w:val="00954919"/>
    <w:rsid w:val="00954A2B"/>
    <w:rsid w:val="00954BBC"/>
    <w:rsid w:val="00954BE3"/>
    <w:rsid w:val="009551CB"/>
    <w:rsid w:val="009555E0"/>
    <w:rsid w:val="00956266"/>
    <w:rsid w:val="009573FF"/>
    <w:rsid w:val="009610DC"/>
    <w:rsid w:val="009645CA"/>
    <w:rsid w:val="009667C3"/>
    <w:rsid w:val="0096756F"/>
    <w:rsid w:val="009675A4"/>
    <w:rsid w:val="00971E34"/>
    <w:rsid w:val="00972EA2"/>
    <w:rsid w:val="00973AE6"/>
    <w:rsid w:val="00974A41"/>
    <w:rsid w:val="00976417"/>
    <w:rsid w:val="0097657E"/>
    <w:rsid w:val="0097663D"/>
    <w:rsid w:val="009768D3"/>
    <w:rsid w:val="009771A3"/>
    <w:rsid w:val="0098058E"/>
    <w:rsid w:val="00980A04"/>
    <w:rsid w:val="009816D7"/>
    <w:rsid w:val="00983058"/>
    <w:rsid w:val="00984241"/>
    <w:rsid w:val="00984BB4"/>
    <w:rsid w:val="00984D93"/>
    <w:rsid w:val="00985A5D"/>
    <w:rsid w:val="00985CD3"/>
    <w:rsid w:val="0098612E"/>
    <w:rsid w:val="00986592"/>
    <w:rsid w:val="00987DA1"/>
    <w:rsid w:val="00987F15"/>
    <w:rsid w:val="00991F4E"/>
    <w:rsid w:val="00993076"/>
    <w:rsid w:val="00993724"/>
    <w:rsid w:val="00994E1A"/>
    <w:rsid w:val="009A0150"/>
    <w:rsid w:val="009A0300"/>
    <w:rsid w:val="009A1B79"/>
    <w:rsid w:val="009A1FC8"/>
    <w:rsid w:val="009A3647"/>
    <w:rsid w:val="009A4FB3"/>
    <w:rsid w:val="009A57F9"/>
    <w:rsid w:val="009A58D8"/>
    <w:rsid w:val="009A71B8"/>
    <w:rsid w:val="009A7442"/>
    <w:rsid w:val="009A7665"/>
    <w:rsid w:val="009A7DD0"/>
    <w:rsid w:val="009B0534"/>
    <w:rsid w:val="009B09F0"/>
    <w:rsid w:val="009B1112"/>
    <w:rsid w:val="009B1809"/>
    <w:rsid w:val="009B1F03"/>
    <w:rsid w:val="009B257B"/>
    <w:rsid w:val="009B4FA1"/>
    <w:rsid w:val="009B529F"/>
    <w:rsid w:val="009B6568"/>
    <w:rsid w:val="009B6793"/>
    <w:rsid w:val="009B6DEF"/>
    <w:rsid w:val="009B7B09"/>
    <w:rsid w:val="009B7F07"/>
    <w:rsid w:val="009C0D2B"/>
    <w:rsid w:val="009C1891"/>
    <w:rsid w:val="009C1BD9"/>
    <w:rsid w:val="009C1E6D"/>
    <w:rsid w:val="009C4E01"/>
    <w:rsid w:val="009C69FA"/>
    <w:rsid w:val="009C6EBE"/>
    <w:rsid w:val="009D0AE2"/>
    <w:rsid w:val="009D319C"/>
    <w:rsid w:val="009D67E2"/>
    <w:rsid w:val="009D7193"/>
    <w:rsid w:val="009E006A"/>
    <w:rsid w:val="009E0499"/>
    <w:rsid w:val="009E0F37"/>
    <w:rsid w:val="009E2D3B"/>
    <w:rsid w:val="009E4144"/>
    <w:rsid w:val="009E5091"/>
    <w:rsid w:val="009E7442"/>
    <w:rsid w:val="009E7BA9"/>
    <w:rsid w:val="009E7F96"/>
    <w:rsid w:val="009F0B7E"/>
    <w:rsid w:val="009F15EA"/>
    <w:rsid w:val="009F3579"/>
    <w:rsid w:val="009F37B8"/>
    <w:rsid w:val="009F4AAE"/>
    <w:rsid w:val="009F5CB7"/>
    <w:rsid w:val="00A00709"/>
    <w:rsid w:val="00A015F6"/>
    <w:rsid w:val="00A01E94"/>
    <w:rsid w:val="00A02525"/>
    <w:rsid w:val="00A028E6"/>
    <w:rsid w:val="00A03BD3"/>
    <w:rsid w:val="00A04528"/>
    <w:rsid w:val="00A055F3"/>
    <w:rsid w:val="00A057A1"/>
    <w:rsid w:val="00A05D84"/>
    <w:rsid w:val="00A07B6C"/>
    <w:rsid w:val="00A07D55"/>
    <w:rsid w:val="00A11CF7"/>
    <w:rsid w:val="00A125A0"/>
    <w:rsid w:val="00A143F0"/>
    <w:rsid w:val="00A16BF0"/>
    <w:rsid w:val="00A17238"/>
    <w:rsid w:val="00A17D9A"/>
    <w:rsid w:val="00A20179"/>
    <w:rsid w:val="00A20765"/>
    <w:rsid w:val="00A20BF8"/>
    <w:rsid w:val="00A22EE6"/>
    <w:rsid w:val="00A22F7B"/>
    <w:rsid w:val="00A23661"/>
    <w:rsid w:val="00A23FBF"/>
    <w:rsid w:val="00A2423E"/>
    <w:rsid w:val="00A2463C"/>
    <w:rsid w:val="00A25284"/>
    <w:rsid w:val="00A26B63"/>
    <w:rsid w:val="00A26BE0"/>
    <w:rsid w:val="00A26D49"/>
    <w:rsid w:val="00A2734A"/>
    <w:rsid w:val="00A2750B"/>
    <w:rsid w:val="00A27FD0"/>
    <w:rsid w:val="00A30C8B"/>
    <w:rsid w:val="00A31A1A"/>
    <w:rsid w:val="00A31DDA"/>
    <w:rsid w:val="00A32CDA"/>
    <w:rsid w:val="00A338B2"/>
    <w:rsid w:val="00A34954"/>
    <w:rsid w:val="00A36EC2"/>
    <w:rsid w:val="00A3745E"/>
    <w:rsid w:val="00A37D62"/>
    <w:rsid w:val="00A4000D"/>
    <w:rsid w:val="00A401A2"/>
    <w:rsid w:val="00A41088"/>
    <w:rsid w:val="00A41EAD"/>
    <w:rsid w:val="00A42511"/>
    <w:rsid w:val="00A42656"/>
    <w:rsid w:val="00A43D03"/>
    <w:rsid w:val="00A43E26"/>
    <w:rsid w:val="00A450D2"/>
    <w:rsid w:val="00A46A09"/>
    <w:rsid w:val="00A47783"/>
    <w:rsid w:val="00A505DA"/>
    <w:rsid w:val="00A512D4"/>
    <w:rsid w:val="00A53256"/>
    <w:rsid w:val="00A537CE"/>
    <w:rsid w:val="00A53E9C"/>
    <w:rsid w:val="00A542A0"/>
    <w:rsid w:val="00A55A15"/>
    <w:rsid w:val="00A562DA"/>
    <w:rsid w:val="00A56D6B"/>
    <w:rsid w:val="00A57AF1"/>
    <w:rsid w:val="00A602A9"/>
    <w:rsid w:val="00A6161E"/>
    <w:rsid w:val="00A61D85"/>
    <w:rsid w:val="00A626F6"/>
    <w:rsid w:val="00A633AA"/>
    <w:rsid w:val="00A63A66"/>
    <w:rsid w:val="00A63A74"/>
    <w:rsid w:val="00A64443"/>
    <w:rsid w:val="00A649BA"/>
    <w:rsid w:val="00A64FA5"/>
    <w:rsid w:val="00A667AC"/>
    <w:rsid w:val="00A6681F"/>
    <w:rsid w:val="00A70230"/>
    <w:rsid w:val="00A71A12"/>
    <w:rsid w:val="00A71AEF"/>
    <w:rsid w:val="00A728EC"/>
    <w:rsid w:val="00A739DD"/>
    <w:rsid w:val="00A741E0"/>
    <w:rsid w:val="00A746A5"/>
    <w:rsid w:val="00A761A5"/>
    <w:rsid w:val="00A762FE"/>
    <w:rsid w:val="00A76CC8"/>
    <w:rsid w:val="00A775DE"/>
    <w:rsid w:val="00A77A9E"/>
    <w:rsid w:val="00A80655"/>
    <w:rsid w:val="00A814A3"/>
    <w:rsid w:val="00A815A2"/>
    <w:rsid w:val="00A81894"/>
    <w:rsid w:val="00A8225D"/>
    <w:rsid w:val="00A8299A"/>
    <w:rsid w:val="00A8423D"/>
    <w:rsid w:val="00A84ADC"/>
    <w:rsid w:val="00A854BE"/>
    <w:rsid w:val="00A856EE"/>
    <w:rsid w:val="00A85B01"/>
    <w:rsid w:val="00A85B06"/>
    <w:rsid w:val="00A85CC2"/>
    <w:rsid w:val="00A8621C"/>
    <w:rsid w:val="00A86D03"/>
    <w:rsid w:val="00A8724A"/>
    <w:rsid w:val="00A901AE"/>
    <w:rsid w:val="00A9100A"/>
    <w:rsid w:val="00A93889"/>
    <w:rsid w:val="00A93CE7"/>
    <w:rsid w:val="00A93DFB"/>
    <w:rsid w:val="00A9593E"/>
    <w:rsid w:val="00A9687D"/>
    <w:rsid w:val="00A96933"/>
    <w:rsid w:val="00A975D3"/>
    <w:rsid w:val="00A97A10"/>
    <w:rsid w:val="00AA0E5B"/>
    <w:rsid w:val="00AA2DC9"/>
    <w:rsid w:val="00AA358B"/>
    <w:rsid w:val="00AA368D"/>
    <w:rsid w:val="00AA3FCE"/>
    <w:rsid w:val="00AA51A7"/>
    <w:rsid w:val="00AA5651"/>
    <w:rsid w:val="00AA6369"/>
    <w:rsid w:val="00AA6C81"/>
    <w:rsid w:val="00AA6F33"/>
    <w:rsid w:val="00AA79BD"/>
    <w:rsid w:val="00AB0DEE"/>
    <w:rsid w:val="00AB0E4C"/>
    <w:rsid w:val="00AB33AA"/>
    <w:rsid w:val="00AB38BF"/>
    <w:rsid w:val="00AB393B"/>
    <w:rsid w:val="00AB3BC1"/>
    <w:rsid w:val="00AB4307"/>
    <w:rsid w:val="00AB4320"/>
    <w:rsid w:val="00AB545C"/>
    <w:rsid w:val="00AB5907"/>
    <w:rsid w:val="00AB6014"/>
    <w:rsid w:val="00AB60B7"/>
    <w:rsid w:val="00AB6A1A"/>
    <w:rsid w:val="00AB7307"/>
    <w:rsid w:val="00AC235F"/>
    <w:rsid w:val="00AC3D85"/>
    <w:rsid w:val="00AC4620"/>
    <w:rsid w:val="00AC53EF"/>
    <w:rsid w:val="00AC6B3A"/>
    <w:rsid w:val="00AC7E0F"/>
    <w:rsid w:val="00AD1CF0"/>
    <w:rsid w:val="00AD38D8"/>
    <w:rsid w:val="00AD40E2"/>
    <w:rsid w:val="00AD5315"/>
    <w:rsid w:val="00AD56D7"/>
    <w:rsid w:val="00AD59EB"/>
    <w:rsid w:val="00AD5C45"/>
    <w:rsid w:val="00AD63D1"/>
    <w:rsid w:val="00AD652D"/>
    <w:rsid w:val="00AD6C23"/>
    <w:rsid w:val="00AD6F31"/>
    <w:rsid w:val="00AE3516"/>
    <w:rsid w:val="00AE3584"/>
    <w:rsid w:val="00AE372F"/>
    <w:rsid w:val="00AE5B2A"/>
    <w:rsid w:val="00AE6F60"/>
    <w:rsid w:val="00AF1766"/>
    <w:rsid w:val="00AF17C1"/>
    <w:rsid w:val="00AF192A"/>
    <w:rsid w:val="00AF1CC0"/>
    <w:rsid w:val="00AF33D3"/>
    <w:rsid w:val="00AF3B73"/>
    <w:rsid w:val="00AF5388"/>
    <w:rsid w:val="00AF654A"/>
    <w:rsid w:val="00AF7065"/>
    <w:rsid w:val="00AF7C78"/>
    <w:rsid w:val="00B0097B"/>
    <w:rsid w:val="00B060B6"/>
    <w:rsid w:val="00B067EC"/>
    <w:rsid w:val="00B0792C"/>
    <w:rsid w:val="00B1125F"/>
    <w:rsid w:val="00B11399"/>
    <w:rsid w:val="00B1268C"/>
    <w:rsid w:val="00B13E10"/>
    <w:rsid w:val="00B142C6"/>
    <w:rsid w:val="00B14AA9"/>
    <w:rsid w:val="00B14B4D"/>
    <w:rsid w:val="00B165B9"/>
    <w:rsid w:val="00B16C24"/>
    <w:rsid w:val="00B16D16"/>
    <w:rsid w:val="00B178B8"/>
    <w:rsid w:val="00B2050E"/>
    <w:rsid w:val="00B20E7A"/>
    <w:rsid w:val="00B22623"/>
    <w:rsid w:val="00B233D0"/>
    <w:rsid w:val="00B234C0"/>
    <w:rsid w:val="00B235AB"/>
    <w:rsid w:val="00B249E7"/>
    <w:rsid w:val="00B2649D"/>
    <w:rsid w:val="00B26B69"/>
    <w:rsid w:val="00B270C8"/>
    <w:rsid w:val="00B30C70"/>
    <w:rsid w:val="00B3145E"/>
    <w:rsid w:val="00B322B2"/>
    <w:rsid w:val="00B33BC2"/>
    <w:rsid w:val="00B34391"/>
    <w:rsid w:val="00B3540D"/>
    <w:rsid w:val="00B35C44"/>
    <w:rsid w:val="00B3709D"/>
    <w:rsid w:val="00B3744D"/>
    <w:rsid w:val="00B402B7"/>
    <w:rsid w:val="00B410DF"/>
    <w:rsid w:val="00B410E7"/>
    <w:rsid w:val="00B42E4E"/>
    <w:rsid w:val="00B43DE9"/>
    <w:rsid w:val="00B466B6"/>
    <w:rsid w:val="00B47065"/>
    <w:rsid w:val="00B47649"/>
    <w:rsid w:val="00B507C2"/>
    <w:rsid w:val="00B50923"/>
    <w:rsid w:val="00B50C36"/>
    <w:rsid w:val="00B50D92"/>
    <w:rsid w:val="00B50F32"/>
    <w:rsid w:val="00B51336"/>
    <w:rsid w:val="00B51B3B"/>
    <w:rsid w:val="00B52986"/>
    <w:rsid w:val="00B55C50"/>
    <w:rsid w:val="00B55D75"/>
    <w:rsid w:val="00B6238D"/>
    <w:rsid w:val="00B64A7E"/>
    <w:rsid w:val="00B64FCB"/>
    <w:rsid w:val="00B65E54"/>
    <w:rsid w:val="00B65F9D"/>
    <w:rsid w:val="00B6702D"/>
    <w:rsid w:val="00B67189"/>
    <w:rsid w:val="00B70484"/>
    <w:rsid w:val="00B70B04"/>
    <w:rsid w:val="00B71717"/>
    <w:rsid w:val="00B719B6"/>
    <w:rsid w:val="00B71B9D"/>
    <w:rsid w:val="00B7274D"/>
    <w:rsid w:val="00B729B1"/>
    <w:rsid w:val="00B72E05"/>
    <w:rsid w:val="00B73870"/>
    <w:rsid w:val="00B74151"/>
    <w:rsid w:val="00B75790"/>
    <w:rsid w:val="00B761F4"/>
    <w:rsid w:val="00B77B15"/>
    <w:rsid w:val="00B801C1"/>
    <w:rsid w:val="00B80E9B"/>
    <w:rsid w:val="00B82DC8"/>
    <w:rsid w:val="00B85578"/>
    <w:rsid w:val="00B86400"/>
    <w:rsid w:val="00B86D93"/>
    <w:rsid w:val="00B87631"/>
    <w:rsid w:val="00B90295"/>
    <w:rsid w:val="00B905F9"/>
    <w:rsid w:val="00B90F66"/>
    <w:rsid w:val="00B914EF"/>
    <w:rsid w:val="00B92A5F"/>
    <w:rsid w:val="00B93A66"/>
    <w:rsid w:val="00B93ADA"/>
    <w:rsid w:val="00B94C1A"/>
    <w:rsid w:val="00B94CB3"/>
    <w:rsid w:val="00B9543D"/>
    <w:rsid w:val="00B954A0"/>
    <w:rsid w:val="00B958C7"/>
    <w:rsid w:val="00B964B3"/>
    <w:rsid w:val="00B9739D"/>
    <w:rsid w:val="00B97C26"/>
    <w:rsid w:val="00B97EC5"/>
    <w:rsid w:val="00BA01A3"/>
    <w:rsid w:val="00BA3440"/>
    <w:rsid w:val="00BA36D2"/>
    <w:rsid w:val="00BA413A"/>
    <w:rsid w:val="00BA491D"/>
    <w:rsid w:val="00BA623A"/>
    <w:rsid w:val="00BA649A"/>
    <w:rsid w:val="00BA7293"/>
    <w:rsid w:val="00BB07D1"/>
    <w:rsid w:val="00BB13D7"/>
    <w:rsid w:val="00BB2B62"/>
    <w:rsid w:val="00BB338E"/>
    <w:rsid w:val="00BB3B4C"/>
    <w:rsid w:val="00BB3FB4"/>
    <w:rsid w:val="00BC07DB"/>
    <w:rsid w:val="00BC12DA"/>
    <w:rsid w:val="00BC34F5"/>
    <w:rsid w:val="00BC507D"/>
    <w:rsid w:val="00BC6837"/>
    <w:rsid w:val="00BD0EC5"/>
    <w:rsid w:val="00BD13C7"/>
    <w:rsid w:val="00BD21C7"/>
    <w:rsid w:val="00BD3746"/>
    <w:rsid w:val="00BD4746"/>
    <w:rsid w:val="00BE0DCE"/>
    <w:rsid w:val="00BE0FBF"/>
    <w:rsid w:val="00BE232A"/>
    <w:rsid w:val="00BE328A"/>
    <w:rsid w:val="00BE364C"/>
    <w:rsid w:val="00BE371E"/>
    <w:rsid w:val="00BE3F30"/>
    <w:rsid w:val="00BE40D5"/>
    <w:rsid w:val="00BF0123"/>
    <w:rsid w:val="00BF1073"/>
    <w:rsid w:val="00BF1267"/>
    <w:rsid w:val="00BF1E50"/>
    <w:rsid w:val="00BF309A"/>
    <w:rsid w:val="00BF6411"/>
    <w:rsid w:val="00BF798F"/>
    <w:rsid w:val="00C02B48"/>
    <w:rsid w:val="00C0327E"/>
    <w:rsid w:val="00C032FB"/>
    <w:rsid w:val="00C05FAC"/>
    <w:rsid w:val="00C0692A"/>
    <w:rsid w:val="00C076CD"/>
    <w:rsid w:val="00C079AE"/>
    <w:rsid w:val="00C07DBA"/>
    <w:rsid w:val="00C10F4B"/>
    <w:rsid w:val="00C12494"/>
    <w:rsid w:val="00C147EB"/>
    <w:rsid w:val="00C14C59"/>
    <w:rsid w:val="00C14D0B"/>
    <w:rsid w:val="00C1520E"/>
    <w:rsid w:val="00C154BF"/>
    <w:rsid w:val="00C156A7"/>
    <w:rsid w:val="00C1687F"/>
    <w:rsid w:val="00C1691A"/>
    <w:rsid w:val="00C16C40"/>
    <w:rsid w:val="00C16C7D"/>
    <w:rsid w:val="00C16CF1"/>
    <w:rsid w:val="00C17F4A"/>
    <w:rsid w:val="00C200E9"/>
    <w:rsid w:val="00C23FC9"/>
    <w:rsid w:val="00C24896"/>
    <w:rsid w:val="00C24E88"/>
    <w:rsid w:val="00C2605C"/>
    <w:rsid w:val="00C263CD"/>
    <w:rsid w:val="00C26757"/>
    <w:rsid w:val="00C27C40"/>
    <w:rsid w:val="00C27ED9"/>
    <w:rsid w:val="00C27FA8"/>
    <w:rsid w:val="00C300A2"/>
    <w:rsid w:val="00C3278A"/>
    <w:rsid w:val="00C3337F"/>
    <w:rsid w:val="00C33B9B"/>
    <w:rsid w:val="00C3510E"/>
    <w:rsid w:val="00C35465"/>
    <w:rsid w:val="00C355E3"/>
    <w:rsid w:val="00C37CEB"/>
    <w:rsid w:val="00C4230E"/>
    <w:rsid w:val="00C434FF"/>
    <w:rsid w:val="00C4684F"/>
    <w:rsid w:val="00C475A4"/>
    <w:rsid w:val="00C47EA0"/>
    <w:rsid w:val="00C50D6C"/>
    <w:rsid w:val="00C5193D"/>
    <w:rsid w:val="00C51E58"/>
    <w:rsid w:val="00C52143"/>
    <w:rsid w:val="00C5264E"/>
    <w:rsid w:val="00C53199"/>
    <w:rsid w:val="00C53C91"/>
    <w:rsid w:val="00C568D9"/>
    <w:rsid w:val="00C5729A"/>
    <w:rsid w:val="00C57A84"/>
    <w:rsid w:val="00C61615"/>
    <w:rsid w:val="00C61C2D"/>
    <w:rsid w:val="00C6374B"/>
    <w:rsid w:val="00C6404E"/>
    <w:rsid w:val="00C64AEE"/>
    <w:rsid w:val="00C64DEC"/>
    <w:rsid w:val="00C674B4"/>
    <w:rsid w:val="00C67DE6"/>
    <w:rsid w:val="00C702D1"/>
    <w:rsid w:val="00C70816"/>
    <w:rsid w:val="00C70DA3"/>
    <w:rsid w:val="00C71193"/>
    <w:rsid w:val="00C713B6"/>
    <w:rsid w:val="00C72759"/>
    <w:rsid w:val="00C74D73"/>
    <w:rsid w:val="00C75229"/>
    <w:rsid w:val="00C7593C"/>
    <w:rsid w:val="00C75EC0"/>
    <w:rsid w:val="00C77708"/>
    <w:rsid w:val="00C816E3"/>
    <w:rsid w:val="00C82953"/>
    <w:rsid w:val="00C833B5"/>
    <w:rsid w:val="00C8386C"/>
    <w:rsid w:val="00C83B10"/>
    <w:rsid w:val="00C85605"/>
    <w:rsid w:val="00C87B73"/>
    <w:rsid w:val="00C87DC8"/>
    <w:rsid w:val="00C90384"/>
    <w:rsid w:val="00C90A05"/>
    <w:rsid w:val="00C90CF6"/>
    <w:rsid w:val="00C916A6"/>
    <w:rsid w:val="00C92711"/>
    <w:rsid w:val="00C93500"/>
    <w:rsid w:val="00C93764"/>
    <w:rsid w:val="00C95F89"/>
    <w:rsid w:val="00C9624D"/>
    <w:rsid w:val="00C965B0"/>
    <w:rsid w:val="00C9718C"/>
    <w:rsid w:val="00CA02FE"/>
    <w:rsid w:val="00CA0C92"/>
    <w:rsid w:val="00CA1FD3"/>
    <w:rsid w:val="00CA21C3"/>
    <w:rsid w:val="00CA3245"/>
    <w:rsid w:val="00CA5EEB"/>
    <w:rsid w:val="00CB037F"/>
    <w:rsid w:val="00CB1CB1"/>
    <w:rsid w:val="00CB21A9"/>
    <w:rsid w:val="00CB6BE8"/>
    <w:rsid w:val="00CB7214"/>
    <w:rsid w:val="00CB726B"/>
    <w:rsid w:val="00CC0863"/>
    <w:rsid w:val="00CC08E6"/>
    <w:rsid w:val="00CC112D"/>
    <w:rsid w:val="00CC291C"/>
    <w:rsid w:val="00CC2DF2"/>
    <w:rsid w:val="00CC409A"/>
    <w:rsid w:val="00CC46C1"/>
    <w:rsid w:val="00CC49B1"/>
    <w:rsid w:val="00CC5CD2"/>
    <w:rsid w:val="00CC67F2"/>
    <w:rsid w:val="00CC6DFE"/>
    <w:rsid w:val="00CC73E6"/>
    <w:rsid w:val="00CC75F0"/>
    <w:rsid w:val="00CD09E6"/>
    <w:rsid w:val="00CD13EF"/>
    <w:rsid w:val="00CD19D6"/>
    <w:rsid w:val="00CD20DF"/>
    <w:rsid w:val="00CD2222"/>
    <w:rsid w:val="00CD2DB8"/>
    <w:rsid w:val="00CD32C8"/>
    <w:rsid w:val="00CD67C5"/>
    <w:rsid w:val="00CD74E4"/>
    <w:rsid w:val="00CD76DA"/>
    <w:rsid w:val="00CE1FC7"/>
    <w:rsid w:val="00CE2B25"/>
    <w:rsid w:val="00CE5872"/>
    <w:rsid w:val="00CE6B25"/>
    <w:rsid w:val="00CE6E37"/>
    <w:rsid w:val="00CE755C"/>
    <w:rsid w:val="00CE76E0"/>
    <w:rsid w:val="00CF0BD0"/>
    <w:rsid w:val="00CF1638"/>
    <w:rsid w:val="00CF1EED"/>
    <w:rsid w:val="00CF2796"/>
    <w:rsid w:val="00CF3070"/>
    <w:rsid w:val="00CF413A"/>
    <w:rsid w:val="00CF429E"/>
    <w:rsid w:val="00CF4CF1"/>
    <w:rsid w:val="00CF4E68"/>
    <w:rsid w:val="00CF5797"/>
    <w:rsid w:val="00CF652E"/>
    <w:rsid w:val="00CF73AB"/>
    <w:rsid w:val="00D019BC"/>
    <w:rsid w:val="00D01E5F"/>
    <w:rsid w:val="00D02326"/>
    <w:rsid w:val="00D03F80"/>
    <w:rsid w:val="00D07E53"/>
    <w:rsid w:val="00D07F66"/>
    <w:rsid w:val="00D12747"/>
    <w:rsid w:val="00D143A7"/>
    <w:rsid w:val="00D16BE1"/>
    <w:rsid w:val="00D17D1B"/>
    <w:rsid w:val="00D20032"/>
    <w:rsid w:val="00D204B3"/>
    <w:rsid w:val="00D21BFA"/>
    <w:rsid w:val="00D224FB"/>
    <w:rsid w:val="00D22E36"/>
    <w:rsid w:val="00D23F58"/>
    <w:rsid w:val="00D24945"/>
    <w:rsid w:val="00D25FBA"/>
    <w:rsid w:val="00D2614C"/>
    <w:rsid w:val="00D272C0"/>
    <w:rsid w:val="00D277D5"/>
    <w:rsid w:val="00D3248C"/>
    <w:rsid w:val="00D33321"/>
    <w:rsid w:val="00D33952"/>
    <w:rsid w:val="00D33967"/>
    <w:rsid w:val="00D34971"/>
    <w:rsid w:val="00D358B1"/>
    <w:rsid w:val="00D35A08"/>
    <w:rsid w:val="00D35C01"/>
    <w:rsid w:val="00D36055"/>
    <w:rsid w:val="00D3618A"/>
    <w:rsid w:val="00D423CC"/>
    <w:rsid w:val="00D42967"/>
    <w:rsid w:val="00D42F59"/>
    <w:rsid w:val="00D44B4C"/>
    <w:rsid w:val="00D45609"/>
    <w:rsid w:val="00D45693"/>
    <w:rsid w:val="00D45D9C"/>
    <w:rsid w:val="00D47EA7"/>
    <w:rsid w:val="00D500BF"/>
    <w:rsid w:val="00D5011B"/>
    <w:rsid w:val="00D507A3"/>
    <w:rsid w:val="00D51817"/>
    <w:rsid w:val="00D52BB5"/>
    <w:rsid w:val="00D52C18"/>
    <w:rsid w:val="00D52D79"/>
    <w:rsid w:val="00D52E64"/>
    <w:rsid w:val="00D54842"/>
    <w:rsid w:val="00D54AF3"/>
    <w:rsid w:val="00D54DB9"/>
    <w:rsid w:val="00D57840"/>
    <w:rsid w:val="00D579BC"/>
    <w:rsid w:val="00D63C18"/>
    <w:rsid w:val="00D63DD5"/>
    <w:rsid w:val="00D64046"/>
    <w:rsid w:val="00D64BA0"/>
    <w:rsid w:val="00D658CF"/>
    <w:rsid w:val="00D66D65"/>
    <w:rsid w:val="00D70700"/>
    <w:rsid w:val="00D70F0F"/>
    <w:rsid w:val="00D713C0"/>
    <w:rsid w:val="00D716DA"/>
    <w:rsid w:val="00D71829"/>
    <w:rsid w:val="00D72481"/>
    <w:rsid w:val="00D72987"/>
    <w:rsid w:val="00D72FC4"/>
    <w:rsid w:val="00D73633"/>
    <w:rsid w:val="00D7382A"/>
    <w:rsid w:val="00D74F22"/>
    <w:rsid w:val="00D7521C"/>
    <w:rsid w:val="00D7549E"/>
    <w:rsid w:val="00D76D78"/>
    <w:rsid w:val="00D8007A"/>
    <w:rsid w:val="00D803B2"/>
    <w:rsid w:val="00D80981"/>
    <w:rsid w:val="00D809CB"/>
    <w:rsid w:val="00D813B6"/>
    <w:rsid w:val="00D823EF"/>
    <w:rsid w:val="00D83C54"/>
    <w:rsid w:val="00D84972"/>
    <w:rsid w:val="00D84AC3"/>
    <w:rsid w:val="00D865D0"/>
    <w:rsid w:val="00D900A1"/>
    <w:rsid w:val="00D90111"/>
    <w:rsid w:val="00D90A31"/>
    <w:rsid w:val="00D91460"/>
    <w:rsid w:val="00D94B33"/>
    <w:rsid w:val="00D94C1C"/>
    <w:rsid w:val="00D959E7"/>
    <w:rsid w:val="00D975D1"/>
    <w:rsid w:val="00D97A67"/>
    <w:rsid w:val="00D97B3F"/>
    <w:rsid w:val="00DA0A29"/>
    <w:rsid w:val="00DA1406"/>
    <w:rsid w:val="00DA18F3"/>
    <w:rsid w:val="00DA1A39"/>
    <w:rsid w:val="00DA2C20"/>
    <w:rsid w:val="00DA2E11"/>
    <w:rsid w:val="00DA51F1"/>
    <w:rsid w:val="00DA5B3F"/>
    <w:rsid w:val="00DA64C4"/>
    <w:rsid w:val="00DA7594"/>
    <w:rsid w:val="00DA7B50"/>
    <w:rsid w:val="00DB0914"/>
    <w:rsid w:val="00DB111A"/>
    <w:rsid w:val="00DB1BCD"/>
    <w:rsid w:val="00DB226D"/>
    <w:rsid w:val="00DB2630"/>
    <w:rsid w:val="00DB2ED1"/>
    <w:rsid w:val="00DB3F70"/>
    <w:rsid w:val="00DB4274"/>
    <w:rsid w:val="00DB4452"/>
    <w:rsid w:val="00DB488D"/>
    <w:rsid w:val="00DB4958"/>
    <w:rsid w:val="00DB5F9B"/>
    <w:rsid w:val="00DB6479"/>
    <w:rsid w:val="00DB67C2"/>
    <w:rsid w:val="00DB7347"/>
    <w:rsid w:val="00DC067A"/>
    <w:rsid w:val="00DC07B6"/>
    <w:rsid w:val="00DC1E5D"/>
    <w:rsid w:val="00DC363E"/>
    <w:rsid w:val="00DC604E"/>
    <w:rsid w:val="00DC6714"/>
    <w:rsid w:val="00DC6B62"/>
    <w:rsid w:val="00DC6E13"/>
    <w:rsid w:val="00DC706E"/>
    <w:rsid w:val="00DC7B18"/>
    <w:rsid w:val="00DD00FD"/>
    <w:rsid w:val="00DD2021"/>
    <w:rsid w:val="00DD3C2F"/>
    <w:rsid w:val="00DD43B4"/>
    <w:rsid w:val="00DD68AE"/>
    <w:rsid w:val="00DD6F5B"/>
    <w:rsid w:val="00DD73AD"/>
    <w:rsid w:val="00DD73C4"/>
    <w:rsid w:val="00DE00EB"/>
    <w:rsid w:val="00DE03B1"/>
    <w:rsid w:val="00DE1257"/>
    <w:rsid w:val="00DE160E"/>
    <w:rsid w:val="00DE164A"/>
    <w:rsid w:val="00DE48A7"/>
    <w:rsid w:val="00DE4B04"/>
    <w:rsid w:val="00DE53A2"/>
    <w:rsid w:val="00DE5471"/>
    <w:rsid w:val="00DE5647"/>
    <w:rsid w:val="00DE6462"/>
    <w:rsid w:val="00DE7985"/>
    <w:rsid w:val="00DE7A2F"/>
    <w:rsid w:val="00DF0023"/>
    <w:rsid w:val="00DF00B9"/>
    <w:rsid w:val="00DF0217"/>
    <w:rsid w:val="00DF0478"/>
    <w:rsid w:val="00DF082D"/>
    <w:rsid w:val="00DF0F4F"/>
    <w:rsid w:val="00DF1496"/>
    <w:rsid w:val="00DF2586"/>
    <w:rsid w:val="00DF2715"/>
    <w:rsid w:val="00DF2FA8"/>
    <w:rsid w:val="00DF325E"/>
    <w:rsid w:val="00DF5E98"/>
    <w:rsid w:val="00DF715E"/>
    <w:rsid w:val="00DF7731"/>
    <w:rsid w:val="00E00188"/>
    <w:rsid w:val="00E01604"/>
    <w:rsid w:val="00E058E7"/>
    <w:rsid w:val="00E05FF5"/>
    <w:rsid w:val="00E06D09"/>
    <w:rsid w:val="00E1039C"/>
    <w:rsid w:val="00E10F37"/>
    <w:rsid w:val="00E11B5D"/>
    <w:rsid w:val="00E11EE0"/>
    <w:rsid w:val="00E14697"/>
    <w:rsid w:val="00E14A34"/>
    <w:rsid w:val="00E1516F"/>
    <w:rsid w:val="00E151F2"/>
    <w:rsid w:val="00E15B0C"/>
    <w:rsid w:val="00E15CFB"/>
    <w:rsid w:val="00E17B88"/>
    <w:rsid w:val="00E209FE"/>
    <w:rsid w:val="00E215CF"/>
    <w:rsid w:val="00E21A10"/>
    <w:rsid w:val="00E23DBD"/>
    <w:rsid w:val="00E25441"/>
    <w:rsid w:val="00E25BEA"/>
    <w:rsid w:val="00E27656"/>
    <w:rsid w:val="00E32A10"/>
    <w:rsid w:val="00E33FD3"/>
    <w:rsid w:val="00E34A14"/>
    <w:rsid w:val="00E350EB"/>
    <w:rsid w:val="00E353CB"/>
    <w:rsid w:val="00E35939"/>
    <w:rsid w:val="00E367C9"/>
    <w:rsid w:val="00E373E8"/>
    <w:rsid w:val="00E37E47"/>
    <w:rsid w:val="00E42ECE"/>
    <w:rsid w:val="00E4338F"/>
    <w:rsid w:val="00E4408D"/>
    <w:rsid w:val="00E457B9"/>
    <w:rsid w:val="00E46164"/>
    <w:rsid w:val="00E462BA"/>
    <w:rsid w:val="00E465E2"/>
    <w:rsid w:val="00E50CD4"/>
    <w:rsid w:val="00E511B7"/>
    <w:rsid w:val="00E511CC"/>
    <w:rsid w:val="00E51D66"/>
    <w:rsid w:val="00E52464"/>
    <w:rsid w:val="00E52968"/>
    <w:rsid w:val="00E5399D"/>
    <w:rsid w:val="00E54348"/>
    <w:rsid w:val="00E54754"/>
    <w:rsid w:val="00E556C3"/>
    <w:rsid w:val="00E5668B"/>
    <w:rsid w:val="00E570CB"/>
    <w:rsid w:val="00E5757A"/>
    <w:rsid w:val="00E5784A"/>
    <w:rsid w:val="00E57FF6"/>
    <w:rsid w:val="00E60720"/>
    <w:rsid w:val="00E60E7C"/>
    <w:rsid w:val="00E64ACC"/>
    <w:rsid w:val="00E64E51"/>
    <w:rsid w:val="00E65C56"/>
    <w:rsid w:val="00E65F46"/>
    <w:rsid w:val="00E66477"/>
    <w:rsid w:val="00E66F3A"/>
    <w:rsid w:val="00E70206"/>
    <w:rsid w:val="00E7085D"/>
    <w:rsid w:val="00E71387"/>
    <w:rsid w:val="00E713C5"/>
    <w:rsid w:val="00E72E9E"/>
    <w:rsid w:val="00E7309C"/>
    <w:rsid w:val="00E73B65"/>
    <w:rsid w:val="00E741F5"/>
    <w:rsid w:val="00E744D6"/>
    <w:rsid w:val="00E74969"/>
    <w:rsid w:val="00E74B51"/>
    <w:rsid w:val="00E759DC"/>
    <w:rsid w:val="00E76473"/>
    <w:rsid w:val="00E7653E"/>
    <w:rsid w:val="00E774BE"/>
    <w:rsid w:val="00E779D1"/>
    <w:rsid w:val="00E808A4"/>
    <w:rsid w:val="00E81602"/>
    <w:rsid w:val="00E81720"/>
    <w:rsid w:val="00E829C3"/>
    <w:rsid w:val="00E83A3D"/>
    <w:rsid w:val="00E83EA2"/>
    <w:rsid w:val="00E8416D"/>
    <w:rsid w:val="00E852C9"/>
    <w:rsid w:val="00E867D3"/>
    <w:rsid w:val="00E91AFA"/>
    <w:rsid w:val="00E91CE2"/>
    <w:rsid w:val="00E93896"/>
    <w:rsid w:val="00E94F83"/>
    <w:rsid w:val="00E97A24"/>
    <w:rsid w:val="00E97EAA"/>
    <w:rsid w:val="00EA0758"/>
    <w:rsid w:val="00EA0F05"/>
    <w:rsid w:val="00EA27CC"/>
    <w:rsid w:val="00EA3256"/>
    <w:rsid w:val="00EA38FC"/>
    <w:rsid w:val="00EA3C07"/>
    <w:rsid w:val="00EA6734"/>
    <w:rsid w:val="00EA678B"/>
    <w:rsid w:val="00EB0A1B"/>
    <w:rsid w:val="00EB0A3C"/>
    <w:rsid w:val="00EB3A71"/>
    <w:rsid w:val="00EB5B96"/>
    <w:rsid w:val="00EB5CE0"/>
    <w:rsid w:val="00EB7B93"/>
    <w:rsid w:val="00EC012C"/>
    <w:rsid w:val="00EC041C"/>
    <w:rsid w:val="00EC09B6"/>
    <w:rsid w:val="00EC1C86"/>
    <w:rsid w:val="00EC2F73"/>
    <w:rsid w:val="00EC3569"/>
    <w:rsid w:val="00EC3DBB"/>
    <w:rsid w:val="00EC6B9F"/>
    <w:rsid w:val="00ED0351"/>
    <w:rsid w:val="00ED0737"/>
    <w:rsid w:val="00ED1652"/>
    <w:rsid w:val="00ED307D"/>
    <w:rsid w:val="00ED31DE"/>
    <w:rsid w:val="00ED4209"/>
    <w:rsid w:val="00ED5B65"/>
    <w:rsid w:val="00ED6E9A"/>
    <w:rsid w:val="00ED7884"/>
    <w:rsid w:val="00EE0252"/>
    <w:rsid w:val="00EE0E1A"/>
    <w:rsid w:val="00EE1035"/>
    <w:rsid w:val="00EE3260"/>
    <w:rsid w:val="00EE5AF6"/>
    <w:rsid w:val="00EE6D75"/>
    <w:rsid w:val="00EE7113"/>
    <w:rsid w:val="00EF26B1"/>
    <w:rsid w:val="00EF3D7D"/>
    <w:rsid w:val="00EF3F4E"/>
    <w:rsid w:val="00EF4D53"/>
    <w:rsid w:val="00EF4D8A"/>
    <w:rsid w:val="00EF7311"/>
    <w:rsid w:val="00EF7416"/>
    <w:rsid w:val="00F00D57"/>
    <w:rsid w:val="00F00DAC"/>
    <w:rsid w:val="00F0100F"/>
    <w:rsid w:val="00F01553"/>
    <w:rsid w:val="00F04875"/>
    <w:rsid w:val="00F049AA"/>
    <w:rsid w:val="00F061FA"/>
    <w:rsid w:val="00F063A7"/>
    <w:rsid w:val="00F10D07"/>
    <w:rsid w:val="00F11B86"/>
    <w:rsid w:val="00F129CB"/>
    <w:rsid w:val="00F132FF"/>
    <w:rsid w:val="00F13E8A"/>
    <w:rsid w:val="00F14B92"/>
    <w:rsid w:val="00F14F6C"/>
    <w:rsid w:val="00F15364"/>
    <w:rsid w:val="00F173E8"/>
    <w:rsid w:val="00F17A4F"/>
    <w:rsid w:val="00F211C2"/>
    <w:rsid w:val="00F2149A"/>
    <w:rsid w:val="00F21BBE"/>
    <w:rsid w:val="00F21D2F"/>
    <w:rsid w:val="00F232FA"/>
    <w:rsid w:val="00F24B31"/>
    <w:rsid w:val="00F255EF"/>
    <w:rsid w:val="00F26183"/>
    <w:rsid w:val="00F2680D"/>
    <w:rsid w:val="00F34DCC"/>
    <w:rsid w:val="00F36754"/>
    <w:rsid w:val="00F4180D"/>
    <w:rsid w:val="00F41C59"/>
    <w:rsid w:val="00F47564"/>
    <w:rsid w:val="00F50538"/>
    <w:rsid w:val="00F513C5"/>
    <w:rsid w:val="00F5201B"/>
    <w:rsid w:val="00F5285B"/>
    <w:rsid w:val="00F548EA"/>
    <w:rsid w:val="00F54A59"/>
    <w:rsid w:val="00F56CF9"/>
    <w:rsid w:val="00F57665"/>
    <w:rsid w:val="00F57A57"/>
    <w:rsid w:val="00F62799"/>
    <w:rsid w:val="00F63967"/>
    <w:rsid w:val="00F63C26"/>
    <w:rsid w:val="00F640DB"/>
    <w:rsid w:val="00F6521F"/>
    <w:rsid w:val="00F6649C"/>
    <w:rsid w:val="00F67777"/>
    <w:rsid w:val="00F6787E"/>
    <w:rsid w:val="00F67E0B"/>
    <w:rsid w:val="00F71448"/>
    <w:rsid w:val="00F71950"/>
    <w:rsid w:val="00F71E53"/>
    <w:rsid w:val="00F723CC"/>
    <w:rsid w:val="00F73E1B"/>
    <w:rsid w:val="00F74247"/>
    <w:rsid w:val="00F74F3D"/>
    <w:rsid w:val="00F74F55"/>
    <w:rsid w:val="00F75167"/>
    <w:rsid w:val="00F76B9C"/>
    <w:rsid w:val="00F76D7B"/>
    <w:rsid w:val="00F77224"/>
    <w:rsid w:val="00F7781A"/>
    <w:rsid w:val="00F77916"/>
    <w:rsid w:val="00F81440"/>
    <w:rsid w:val="00F81CB2"/>
    <w:rsid w:val="00F83206"/>
    <w:rsid w:val="00F83DEF"/>
    <w:rsid w:val="00F843E3"/>
    <w:rsid w:val="00F846E1"/>
    <w:rsid w:val="00F84B1F"/>
    <w:rsid w:val="00F85174"/>
    <w:rsid w:val="00F859D0"/>
    <w:rsid w:val="00F85FD8"/>
    <w:rsid w:val="00F860AB"/>
    <w:rsid w:val="00F866E0"/>
    <w:rsid w:val="00F90306"/>
    <w:rsid w:val="00F90A77"/>
    <w:rsid w:val="00F90ACA"/>
    <w:rsid w:val="00F9312C"/>
    <w:rsid w:val="00F935ED"/>
    <w:rsid w:val="00F93C1B"/>
    <w:rsid w:val="00F9487A"/>
    <w:rsid w:val="00F951C8"/>
    <w:rsid w:val="00F97DDB"/>
    <w:rsid w:val="00FA0BBC"/>
    <w:rsid w:val="00FA0D0F"/>
    <w:rsid w:val="00FA147F"/>
    <w:rsid w:val="00FA199B"/>
    <w:rsid w:val="00FA3942"/>
    <w:rsid w:val="00FA40A0"/>
    <w:rsid w:val="00FA52AC"/>
    <w:rsid w:val="00FA55A7"/>
    <w:rsid w:val="00FA5B74"/>
    <w:rsid w:val="00FA5D37"/>
    <w:rsid w:val="00FA69A6"/>
    <w:rsid w:val="00FA7074"/>
    <w:rsid w:val="00FB14D1"/>
    <w:rsid w:val="00FB31F7"/>
    <w:rsid w:val="00FB3B9D"/>
    <w:rsid w:val="00FB4AE9"/>
    <w:rsid w:val="00FB66BA"/>
    <w:rsid w:val="00FC052E"/>
    <w:rsid w:val="00FC12B9"/>
    <w:rsid w:val="00FC1587"/>
    <w:rsid w:val="00FC16D5"/>
    <w:rsid w:val="00FC1EB8"/>
    <w:rsid w:val="00FC1FE5"/>
    <w:rsid w:val="00FC40F4"/>
    <w:rsid w:val="00FC6916"/>
    <w:rsid w:val="00FC6ECF"/>
    <w:rsid w:val="00FD26E3"/>
    <w:rsid w:val="00FD2E99"/>
    <w:rsid w:val="00FD2FD2"/>
    <w:rsid w:val="00FD41F9"/>
    <w:rsid w:val="00FD4BCF"/>
    <w:rsid w:val="00FD55F8"/>
    <w:rsid w:val="00FD57A5"/>
    <w:rsid w:val="00FD5DEC"/>
    <w:rsid w:val="00FD6C66"/>
    <w:rsid w:val="00FD7F08"/>
    <w:rsid w:val="00FE22D8"/>
    <w:rsid w:val="00FE339A"/>
    <w:rsid w:val="00FE4427"/>
    <w:rsid w:val="00FE5722"/>
    <w:rsid w:val="00FE675F"/>
    <w:rsid w:val="00FE6E7B"/>
    <w:rsid w:val="00FE70B2"/>
    <w:rsid w:val="00FF0945"/>
    <w:rsid w:val="00FF0F77"/>
    <w:rsid w:val="00FF1239"/>
    <w:rsid w:val="00FF26C3"/>
    <w:rsid w:val="00FF2A2F"/>
    <w:rsid w:val="00FF2C50"/>
    <w:rsid w:val="00FF48AD"/>
    <w:rsid w:val="00FF52A1"/>
    <w:rsid w:val="00FF6EA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B6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Titre1">
    <w:name w:val="heading 1"/>
    <w:basedOn w:val="Normal"/>
    <w:next w:val="Normal"/>
    <w:link w:val="Titre1Car"/>
    <w:uiPriority w:val="9"/>
    <w:qFormat/>
    <w:rsid w:val="005F111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6B64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C0D2B"/>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2F4C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111C"/>
    <w:rPr>
      <w:rFonts w:asciiTheme="majorHAnsi" w:eastAsiaTheme="majorEastAsia" w:hAnsiTheme="majorHAnsi" w:cstheme="majorBidi"/>
      <w:b/>
      <w:bCs/>
      <w:color w:val="345A8A" w:themeColor="accent1" w:themeShade="B5"/>
      <w:sz w:val="32"/>
      <w:szCs w:val="32"/>
      <w:lang w:val="fr-CA"/>
    </w:rPr>
  </w:style>
  <w:style w:type="paragraph" w:styleId="Paragraphedeliste">
    <w:name w:val="List Paragraph"/>
    <w:basedOn w:val="Normal"/>
    <w:uiPriority w:val="34"/>
    <w:qFormat/>
    <w:rsid w:val="005F111C"/>
    <w:pPr>
      <w:ind w:left="720"/>
      <w:contextualSpacing/>
    </w:pPr>
  </w:style>
  <w:style w:type="character" w:customStyle="1" w:styleId="Titre2Car">
    <w:name w:val="Titre 2 Car"/>
    <w:basedOn w:val="Policepardfaut"/>
    <w:link w:val="Titre2"/>
    <w:uiPriority w:val="9"/>
    <w:rsid w:val="006B64A9"/>
    <w:rPr>
      <w:rFonts w:asciiTheme="majorHAnsi" w:eastAsiaTheme="majorEastAsia" w:hAnsiTheme="majorHAnsi" w:cstheme="majorBidi"/>
      <w:b/>
      <w:bCs/>
      <w:color w:val="4F81BD" w:themeColor="accent1"/>
      <w:sz w:val="26"/>
      <w:szCs w:val="26"/>
      <w:lang w:val="fr-CA"/>
    </w:rPr>
  </w:style>
  <w:style w:type="paragraph" w:styleId="En-tte">
    <w:name w:val="header"/>
    <w:basedOn w:val="Normal"/>
    <w:link w:val="En-tteCar"/>
    <w:uiPriority w:val="99"/>
    <w:unhideWhenUsed/>
    <w:rsid w:val="00E867D3"/>
    <w:pPr>
      <w:tabs>
        <w:tab w:val="center" w:pos="4536"/>
        <w:tab w:val="right" w:pos="9072"/>
      </w:tabs>
    </w:pPr>
  </w:style>
  <w:style w:type="character" w:customStyle="1" w:styleId="En-tteCar">
    <w:name w:val="En-tête Car"/>
    <w:basedOn w:val="Policepardfaut"/>
    <w:link w:val="En-tte"/>
    <w:uiPriority w:val="99"/>
    <w:rsid w:val="00E867D3"/>
    <w:rPr>
      <w:lang w:val="fr-CA"/>
    </w:rPr>
  </w:style>
  <w:style w:type="character" w:styleId="Numrodepage">
    <w:name w:val="page number"/>
    <w:basedOn w:val="Policepardfaut"/>
    <w:uiPriority w:val="99"/>
    <w:semiHidden/>
    <w:unhideWhenUsed/>
    <w:rsid w:val="00E867D3"/>
  </w:style>
  <w:style w:type="character" w:customStyle="1" w:styleId="Titre3Car">
    <w:name w:val="Titre 3 Car"/>
    <w:basedOn w:val="Policepardfaut"/>
    <w:link w:val="Titre3"/>
    <w:uiPriority w:val="9"/>
    <w:rsid w:val="009C0D2B"/>
    <w:rPr>
      <w:rFonts w:asciiTheme="majorHAnsi" w:eastAsiaTheme="majorEastAsia" w:hAnsiTheme="majorHAnsi" w:cstheme="majorBidi"/>
      <w:b/>
      <w:bCs/>
      <w:color w:val="4F81BD" w:themeColor="accent1"/>
      <w:lang w:val="fr-CA"/>
    </w:rPr>
  </w:style>
  <w:style w:type="paragraph" w:styleId="Notedebasdepage">
    <w:name w:val="footnote text"/>
    <w:basedOn w:val="Normal"/>
    <w:link w:val="NotedebasdepageCar"/>
    <w:uiPriority w:val="99"/>
    <w:unhideWhenUsed/>
    <w:rsid w:val="003E4459"/>
    <w:rPr>
      <w:noProof/>
    </w:rPr>
  </w:style>
  <w:style w:type="character" w:customStyle="1" w:styleId="NotedebasdepageCar">
    <w:name w:val="Note de bas de page Car"/>
    <w:basedOn w:val="Policepardfaut"/>
    <w:link w:val="Notedebasdepage"/>
    <w:uiPriority w:val="99"/>
    <w:rsid w:val="003E4459"/>
    <w:rPr>
      <w:noProof/>
      <w:lang w:val="fr-CA"/>
    </w:rPr>
  </w:style>
  <w:style w:type="character" w:styleId="Marquenotebasdepage">
    <w:name w:val="footnote reference"/>
    <w:basedOn w:val="Policepardfaut"/>
    <w:uiPriority w:val="99"/>
    <w:unhideWhenUsed/>
    <w:rsid w:val="003E4459"/>
    <w:rPr>
      <w:vertAlign w:val="superscript"/>
    </w:rPr>
  </w:style>
  <w:style w:type="character" w:styleId="lev">
    <w:name w:val="Strong"/>
    <w:basedOn w:val="Policepardfaut"/>
    <w:uiPriority w:val="22"/>
    <w:qFormat/>
    <w:rsid w:val="003E4459"/>
    <w:rPr>
      <w:b/>
      <w:bCs/>
    </w:rPr>
  </w:style>
  <w:style w:type="character" w:styleId="Lienhypertexte">
    <w:name w:val="Hyperlink"/>
    <w:basedOn w:val="Policepardfaut"/>
    <w:uiPriority w:val="99"/>
    <w:unhideWhenUsed/>
    <w:rsid w:val="00604B22"/>
    <w:rPr>
      <w:color w:val="0000FF" w:themeColor="hyperlink"/>
      <w:u w:val="single"/>
    </w:rPr>
  </w:style>
  <w:style w:type="paragraph" w:styleId="Listepuces">
    <w:name w:val="List Bullet"/>
    <w:basedOn w:val="Normal"/>
    <w:uiPriority w:val="99"/>
    <w:unhideWhenUsed/>
    <w:rsid w:val="00604B22"/>
    <w:pPr>
      <w:numPr>
        <w:numId w:val="12"/>
      </w:numPr>
      <w:contextualSpacing/>
    </w:pPr>
  </w:style>
  <w:style w:type="character" w:styleId="Lienhypertextesuivi">
    <w:name w:val="FollowedHyperlink"/>
    <w:basedOn w:val="Policepardfaut"/>
    <w:uiPriority w:val="99"/>
    <w:semiHidden/>
    <w:unhideWhenUsed/>
    <w:rsid w:val="00621C7C"/>
    <w:rPr>
      <w:color w:val="800080" w:themeColor="followedHyperlink"/>
      <w:u w:val="single"/>
    </w:rPr>
  </w:style>
  <w:style w:type="paragraph" w:styleId="Textedebulles">
    <w:name w:val="Balloon Text"/>
    <w:basedOn w:val="Normal"/>
    <w:link w:val="TextedebullesCar"/>
    <w:uiPriority w:val="99"/>
    <w:semiHidden/>
    <w:unhideWhenUsed/>
    <w:rsid w:val="00FC158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1587"/>
    <w:rPr>
      <w:rFonts w:ascii="Lucida Grande" w:hAnsi="Lucida Grande" w:cs="Lucida Grande"/>
      <w:sz w:val="18"/>
      <w:szCs w:val="18"/>
      <w:lang w:val="fr-CA"/>
    </w:rPr>
  </w:style>
  <w:style w:type="paragraph" w:customStyle="1" w:styleId="Grillemoyenne21">
    <w:name w:val="Grille moyenne 21"/>
    <w:uiPriority w:val="1"/>
    <w:qFormat/>
    <w:rsid w:val="000E514C"/>
    <w:rPr>
      <w:rFonts w:ascii="Calibri" w:eastAsia="Calibri" w:hAnsi="Calibri" w:cs="Times New Roman"/>
      <w:sz w:val="22"/>
      <w:szCs w:val="22"/>
      <w:lang w:val="fr-CA" w:eastAsia="en-US"/>
    </w:rPr>
  </w:style>
  <w:style w:type="character" w:customStyle="1" w:styleId="Titre4Car">
    <w:name w:val="Titre 4 Car"/>
    <w:basedOn w:val="Policepardfaut"/>
    <w:link w:val="Titre4"/>
    <w:uiPriority w:val="9"/>
    <w:rsid w:val="002F4CB6"/>
    <w:rPr>
      <w:rFonts w:asciiTheme="majorHAnsi" w:eastAsiaTheme="majorEastAsia" w:hAnsiTheme="majorHAnsi" w:cstheme="majorBidi"/>
      <w:b/>
      <w:bCs/>
      <w:i/>
      <w:iCs/>
      <w:color w:val="4F81BD" w:themeColor="accent1"/>
      <w:lang w:val="fr-CA"/>
    </w:rPr>
  </w:style>
  <w:style w:type="character" w:styleId="Marquedannotation">
    <w:name w:val="annotation reference"/>
    <w:basedOn w:val="Policepardfaut"/>
    <w:uiPriority w:val="99"/>
    <w:semiHidden/>
    <w:unhideWhenUsed/>
    <w:rsid w:val="00A055F3"/>
    <w:rPr>
      <w:sz w:val="18"/>
      <w:szCs w:val="18"/>
    </w:rPr>
  </w:style>
  <w:style w:type="paragraph" w:styleId="Commentaire">
    <w:name w:val="annotation text"/>
    <w:basedOn w:val="Normal"/>
    <w:link w:val="CommentaireCar"/>
    <w:uiPriority w:val="99"/>
    <w:semiHidden/>
    <w:unhideWhenUsed/>
    <w:rsid w:val="00A055F3"/>
  </w:style>
  <w:style w:type="character" w:customStyle="1" w:styleId="CommentaireCar">
    <w:name w:val="Commentaire Car"/>
    <w:basedOn w:val="Policepardfaut"/>
    <w:link w:val="Commentaire"/>
    <w:uiPriority w:val="99"/>
    <w:semiHidden/>
    <w:rsid w:val="00A055F3"/>
    <w:rPr>
      <w:lang w:val="fr-CA"/>
    </w:rPr>
  </w:style>
  <w:style w:type="paragraph" w:styleId="Objetducommentaire">
    <w:name w:val="annotation subject"/>
    <w:basedOn w:val="Commentaire"/>
    <w:next w:val="Commentaire"/>
    <w:link w:val="ObjetducommentaireCar"/>
    <w:uiPriority w:val="99"/>
    <w:semiHidden/>
    <w:unhideWhenUsed/>
    <w:rsid w:val="00A055F3"/>
    <w:rPr>
      <w:b/>
      <w:bCs/>
      <w:sz w:val="20"/>
      <w:szCs w:val="20"/>
    </w:rPr>
  </w:style>
  <w:style w:type="character" w:customStyle="1" w:styleId="ObjetducommentaireCar">
    <w:name w:val="Objet du commentaire Car"/>
    <w:basedOn w:val="CommentaireCar"/>
    <w:link w:val="Objetducommentaire"/>
    <w:uiPriority w:val="99"/>
    <w:semiHidden/>
    <w:rsid w:val="00A055F3"/>
    <w:rPr>
      <w:b/>
      <w:bCs/>
      <w:sz w:val="20"/>
      <w:szCs w:val="20"/>
      <w:lang w:val="fr-CA"/>
    </w:rPr>
  </w:style>
  <w:style w:type="character" w:styleId="SiteHTML">
    <w:name w:val="HTML Cite"/>
    <w:basedOn w:val="Policepardfaut"/>
    <w:uiPriority w:val="99"/>
    <w:semiHidden/>
    <w:unhideWhenUsed/>
    <w:rsid w:val="00FB31F7"/>
    <w:rPr>
      <w:i/>
      <w:iCs/>
    </w:rPr>
  </w:style>
  <w:style w:type="paragraph" w:styleId="Pieddepage">
    <w:name w:val="footer"/>
    <w:basedOn w:val="Normal"/>
    <w:link w:val="PieddepageCar"/>
    <w:uiPriority w:val="99"/>
    <w:semiHidden/>
    <w:unhideWhenUsed/>
    <w:rsid w:val="00C702D1"/>
    <w:pPr>
      <w:tabs>
        <w:tab w:val="center" w:pos="4320"/>
        <w:tab w:val="right" w:pos="8640"/>
      </w:tabs>
    </w:pPr>
  </w:style>
  <w:style w:type="character" w:customStyle="1" w:styleId="PieddepageCar">
    <w:name w:val="Pied de page Car"/>
    <w:basedOn w:val="Policepardfaut"/>
    <w:link w:val="Pieddepage"/>
    <w:uiPriority w:val="99"/>
    <w:semiHidden/>
    <w:rsid w:val="00C702D1"/>
    <w:rPr>
      <w:lang w:val="fr-CA"/>
    </w:rPr>
  </w:style>
  <w:style w:type="paragraph" w:styleId="En-ttedetabledesmatires">
    <w:name w:val="TOC Heading"/>
    <w:basedOn w:val="Titre1"/>
    <w:next w:val="Normal"/>
    <w:uiPriority w:val="39"/>
    <w:unhideWhenUsed/>
    <w:qFormat/>
    <w:rsid w:val="00826526"/>
    <w:pPr>
      <w:spacing w:line="276" w:lineRule="auto"/>
      <w:outlineLvl w:val="9"/>
    </w:pPr>
    <w:rPr>
      <w:color w:val="365F91" w:themeColor="accent1" w:themeShade="BF"/>
      <w:sz w:val="28"/>
      <w:szCs w:val="28"/>
      <w:lang w:val="fr-FR" w:eastAsia="en-US"/>
    </w:rPr>
  </w:style>
  <w:style w:type="paragraph" w:styleId="TM2">
    <w:name w:val="toc 2"/>
    <w:basedOn w:val="Normal"/>
    <w:next w:val="Normal"/>
    <w:autoRedefine/>
    <w:uiPriority w:val="39"/>
    <w:unhideWhenUsed/>
    <w:rsid w:val="00826526"/>
    <w:pPr>
      <w:spacing w:after="100"/>
      <w:ind w:left="240"/>
    </w:pPr>
  </w:style>
  <w:style w:type="paragraph" w:styleId="TM1">
    <w:name w:val="toc 1"/>
    <w:basedOn w:val="Normal"/>
    <w:next w:val="Normal"/>
    <w:autoRedefine/>
    <w:uiPriority w:val="39"/>
    <w:unhideWhenUsed/>
    <w:rsid w:val="00826526"/>
    <w:pPr>
      <w:spacing w:after="100"/>
    </w:pPr>
  </w:style>
  <w:style w:type="paragraph" w:styleId="TM3">
    <w:name w:val="toc 3"/>
    <w:basedOn w:val="Normal"/>
    <w:next w:val="Normal"/>
    <w:autoRedefine/>
    <w:uiPriority w:val="39"/>
    <w:unhideWhenUsed/>
    <w:rsid w:val="00282433"/>
    <w:pPr>
      <w:spacing w:after="100"/>
      <w:ind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Titre1">
    <w:name w:val="heading 1"/>
    <w:basedOn w:val="Normal"/>
    <w:next w:val="Normal"/>
    <w:link w:val="Titre1Car"/>
    <w:uiPriority w:val="9"/>
    <w:qFormat/>
    <w:rsid w:val="005F111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6B64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C0D2B"/>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2F4C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111C"/>
    <w:rPr>
      <w:rFonts w:asciiTheme="majorHAnsi" w:eastAsiaTheme="majorEastAsia" w:hAnsiTheme="majorHAnsi" w:cstheme="majorBidi"/>
      <w:b/>
      <w:bCs/>
      <w:color w:val="345A8A" w:themeColor="accent1" w:themeShade="B5"/>
      <w:sz w:val="32"/>
      <w:szCs w:val="32"/>
      <w:lang w:val="fr-CA"/>
    </w:rPr>
  </w:style>
  <w:style w:type="paragraph" w:styleId="Paragraphedeliste">
    <w:name w:val="List Paragraph"/>
    <w:basedOn w:val="Normal"/>
    <w:uiPriority w:val="34"/>
    <w:qFormat/>
    <w:rsid w:val="005F111C"/>
    <w:pPr>
      <w:ind w:left="720"/>
      <w:contextualSpacing/>
    </w:pPr>
  </w:style>
  <w:style w:type="character" w:customStyle="1" w:styleId="Titre2Car">
    <w:name w:val="Titre 2 Car"/>
    <w:basedOn w:val="Policepardfaut"/>
    <w:link w:val="Titre2"/>
    <w:uiPriority w:val="9"/>
    <w:rsid w:val="006B64A9"/>
    <w:rPr>
      <w:rFonts w:asciiTheme="majorHAnsi" w:eastAsiaTheme="majorEastAsia" w:hAnsiTheme="majorHAnsi" w:cstheme="majorBidi"/>
      <w:b/>
      <w:bCs/>
      <w:color w:val="4F81BD" w:themeColor="accent1"/>
      <w:sz w:val="26"/>
      <w:szCs w:val="26"/>
      <w:lang w:val="fr-CA"/>
    </w:rPr>
  </w:style>
  <w:style w:type="paragraph" w:styleId="En-tte">
    <w:name w:val="header"/>
    <w:basedOn w:val="Normal"/>
    <w:link w:val="En-tteCar"/>
    <w:uiPriority w:val="99"/>
    <w:unhideWhenUsed/>
    <w:rsid w:val="00E867D3"/>
    <w:pPr>
      <w:tabs>
        <w:tab w:val="center" w:pos="4536"/>
        <w:tab w:val="right" w:pos="9072"/>
      </w:tabs>
    </w:pPr>
  </w:style>
  <w:style w:type="character" w:customStyle="1" w:styleId="En-tteCar">
    <w:name w:val="En-tête Car"/>
    <w:basedOn w:val="Policepardfaut"/>
    <w:link w:val="En-tte"/>
    <w:uiPriority w:val="99"/>
    <w:rsid w:val="00E867D3"/>
    <w:rPr>
      <w:lang w:val="fr-CA"/>
    </w:rPr>
  </w:style>
  <w:style w:type="character" w:styleId="Numrodepage">
    <w:name w:val="page number"/>
    <w:basedOn w:val="Policepardfaut"/>
    <w:uiPriority w:val="99"/>
    <w:semiHidden/>
    <w:unhideWhenUsed/>
    <w:rsid w:val="00E867D3"/>
  </w:style>
  <w:style w:type="character" w:customStyle="1" w:styleId="Titre3Car">
    <w:name w:val="Titre 3 Car"/>
    <w:basedOn w:val="Policepardfaut"/>
    <w:link w:val="Titre3"/>
    <w:uiPriority w:val="9"/>
    <w:rsid w:val="009C0D2B"/>
    <w:rPr>
      <w:rFonts w:asciiTheme="majorHAnsi" w:eastAsiaTheme="majorEastAsia" w:hAnsiTheme="majorHAnsi" w:cstheme="majorBidi"/>
      <w:b/>
      <w:bCs/>
      <w:color w:val="4F81BD" w:themeColor="accent1"/>
      <w:lang w:val="fr-CA"/>
    </w:rPr>
  </w:style>
  <w:style w:type="paragraph" w:styleId="Notedebasdepage">
    <w:name w:val="footnote text"/>
    <w:basedOn w:val="Normal"/>
    <w:link w:val="NotedebasdepageCar"/>
    <w:uiPriority w:val="99"/>
    <w:unhideWhenUsed/>
    <w:rsid w:val="003E4459"/>
    <w:rPr>
      <w:noProof/>
    </w:rPr>
  </w:style>
  <w:style w:type="character" w:customStyle="1" w:styleId="NotedebasdepageCar">
    <w:name w:val="Note de bas de page Car"/>
    <w:basedOn w:val="Policepardfaut"/>
    <w:link w:val="Notedebasdepage"/>
    <w:uiPriority w:val="99"/>
    <w:rsid w:val="003E4459"/>
    <w:rPr>
      <w:noProof/>
      <w:lang w:val="fr-CA"/>
    </w:rPr>
  </w:style>
  <w:style w:type="character" w:styleId="Marquenotebasdepage">
    <w:name w:val="footnote reference"/>
    <w:basedOn w:val="Policepardfaut"/>
    <w:uiPriority w:val="99"/>
    <w:unhideWhenUsed/>
    <w:rsid w:val="003E4459"/>
    <w:rPr>
      <w:vertAlign w:val="superscript"/>
    </w:rPr>
  </w:style>
  <w:style w:type="character" w:styleId="lev">
    <w:name w:val="Strong"/>
    <w:basedOn w:val="Policepardfaut"/>
    <w:uiPriority w:val="22"/>
    <w:qFormat/>
    <w:rsid w:val="003E4459"/>
    <w:rPr>
      <w:b/>
      <w:bCs/>
    </w:rPr>
  </w:style>
  <w:style w:type="character" w:styleId="Lienhypertexte">
    <w:name w:val="Hyperlink"/>
    <w:basedOn w:val="Policepardfaut"/>
    <w:uiPriority w:val="99"/>
    <w:unhideWhenUsed/>
    <w:rsid w:val="00604B22"/>
    <w:rPr>
      <w:color w:val="0000FF" w:themeColor="hyperlink"/>
      <w:u w:val="single"/>
    </w:rPr>
  </w:style>
  <w:style w:type="paragraph" w:styleId="Listepuces">
    <w:name w:val="List Bullet"/>
    <w:basedOn w:val="Normal"/>
    <w:uiPriority w:val="99"/>
    <w:unhideWhenUsed/>
    <w:rsid w:val="00604B22"/>
    <w:pPr>
      <w:numPr>
        <w:numId w:val="12"/>
      </w:numPr>
      <w:contextualSpacing/>
    </w:pPr>
  </w:style>
  <w:style w:type="character" w:styleId="Lienhypertextesuivi">
    <w:name w:val="FollowedHyperlink"/>
    <w:basedOn w:val="Policepardfaut"/>
    <w:uiPriority w:val="99"/>
    <w:semiHidden/>
    <w:unhideWhenUsed/>
    <w:rsid w:val="00621C7C"/>
    <w:rPr>
      <w:color w:val="800080" w:themeColor="followedHyperlink"/>
      <w:u w:val="single"/>
    </w:rPr>
  </w:style>
  <w:style w:type="paragraph" w:styleId="Textedebulles">
    <w:name w:val="Balloon Text"/>
    <w:basedOn w:val="Normal"/>
    <w:link w:val="TextedebullesCar"/>
    <w:uiPriority w:val="99"/>
    <w:semiHidden/>
    <w:unhideWhenUsed/>
    <w:rsid w:val="00FC158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1587"/>
    <w:rPr>
      <w:rFonts w:ascii="Lucida Grande" w:hAnsi="Lucida Grande" w:cs="Lucida Grande"/>
      <w:sz w:val="18"/>
      <w:szCs w:val="18"/>
      <w:lang w:val="fr-CA"/>
    </w:rPr>
  </w:style>
  <w:style w:type="paragraph" w:customStyle="1" w:styleId="Grillemoyenne21">
    <w:name w:val="Grille moyenne 21"/>
    <w:uiPriority w:val="1"/>
    <w:qFormat/>
    <w:rsid w:val="000E514C"/>
    <w:rPr>
      <w:rFonts w:ascii="Calibri" w:eastAsia="Calibri" w:hAnsi="Calibri" w:cs="Times New Roman"/>
      <w:sz w:val="22"/>
      <w:szCs w:val="22"/>
      <w:lang w:val="fr-CA" w:eastAsia="en-US"/>
    </w:rPr>
  </w:style>
  <w:style w:type="character" w:customStyle="1" w:styleId="Titre4Car">
    <w:name w:val="Titre 4 Car"/>
    <w:basedOn w:val="Policepardfaut"/>
    <w:link w:val="Titre4"/>
    <w:uiPriority w:val="9"/>
    <w:rsid w:val="002F4CB6"/>
    <w:rPr>
      <w:rFonts w:asciiTheme="majorHAnsi" w:eastAsiaTheme="majorEastAsia" w:hAnsiTheme="majorHAnsi" w:cstheme="majorBidi"/>
      <w:b/>
      <w:bCs/>
      <w:i/>
      <w:iCs/>
      <w:color w:val="4F81BD" w:themeColor="accent1"/>
      <w:lang w:val="fr-CA"/>
    </w:rPr>
  </w:style>
  <w:style w:type="character" w:styleId="Marquedannotation">
    <w:name w:val="annotation reference"/>
    <w:basedOn w:val="Policepardfaut"/>
    <w:uiPriority w:val="99"/>
    <w:semiHidden/>
    <w:unhideWhenUsed/>
    <w:rsid w:val="00A055F3"/>
    <w:rPr>
      <w:sz w:val="18"/>
      <w:szCs w:val="18"/>
    </w:rPr>
  </w:style>
  <w:style w:type="paragraph" w:styleId="Commentaire">
    <w:name w:val="annotation text"/>
    <w:basedOn w:val="Normal"/>
    <w:link w:val="CommentaireCar"/>
    <w:uiPriority w:val="99"/>
    <w:semiHidden/>
    <w:unhideWhenUsed/>
    <w:rsid w:val="00A055F3"/>
  </w:style>
  <w:style w:type="character" w:customStyle="1" w:styleId="CommentaireCar">
    <w:name w:val="Commentaire Car"/>
    <w:basedOn w:val="Policepardfaut"/>
    <w:link w:val="Commentaire"/>
    <w:uiPriority w:val="99"/>
    <w:semiHidden/>
    <w:rsid w:val="00A055F3"/>
    <w:rPr>
      <w:lang w:val="fr-CA"/>
    </w:rPr>
  </w:style>
  <w:style w:type="paragraph" w:styleId="Objetducommentaire">
    <w:name w:val="annotation subject"/>
    <w:basedOn w:val="Commentaire"/>
    <w:next w:val="Commentaire"/>
    <w:link w:val="ObjetducommentaireCar"/>
    <w:uiPriority w:val="99"/>
    <w:semiHidden/>
    <w:unhideWhenUsed/>
    <w:rsid w:val="00A055F3"/>
    <w:rPr>
      <w:b/>
      <w:bCs/>
      <w:sz w:val="20"/>
      <w:szCs w:val="20"/>
    </w:rPr>
  </w:style>
  <w:style w:type="character" w:customStyle="1" w:styleId="ObjetducommentaireCar">
    <w:name w:val="Objet du commentaire Car"/>
    <w:basedOn w:val="CommentaireCar"/>
    <w:link w:val="Objetducommentaire"/>
    <w:uiPriority w:val="99"/>
    <w:semiHidden/>
    <w:rsid w:val="00A055F3"/>
    <w:rPr>
      <w:b/>
      <w:bCs/>
      <w:sz w:val="20"/>
      <w:szCs w:val="20"/>
      <w:lang w:val="fr-CA"/>
    </w:rPr>
  </w:style>
  <w:style w:type="character" w:styleId="SiteHTML">
    <w:name w:val="HTML Cite"/>
    <w:basedOn w:val="Policepardfaut"/>
    <w:uiPriority w:val="99"/>
    <w:semiHidden/>
    <w:unhideWhenUsed/>
    <w:rsid w:val="00FB31F7"/>
    <w:rPr>
      <w:i/>
      <w:iCs/>
    </w:rPr>
  </w:style>
  <w:style w:type="paragraph" w:styleId="Pieddepage">
    <w:name w:val="footer"/>
    <w:basedOn w:val="Normal"/>
    <w:link w:val="PieddepageCar"/>
    <w:uiPriority w:val="99"/>
    <w:semiHidden/>
    <w:unhideWhenUsed/>
    <w:rsid w:val="00C702D1"/>
    <w:pPr>
      <w:tabs>
        <w:tab w:val="center" w:pos="4320"/>
        <w:tab w:val="right" w:pos="8640"/>
      </w:tabs>
    </w:pPr>
  </w:style>
  <w:style w:type="character" w:customStyle="1" w:styleId="PieddepageCar">
    <w:name w:val="Pied de page Car"/>
    <w:basedOn w:val="Policepardfaut"/>
    <w:link w:val="Pieddepage"/>
    <w:uiPriority w:val="99"/>
    <w:semiHidden/>
    <w:rsid w:val="00C702D1"/>
    <w:rPr>
      <w:lang w:val="fr-CA"/>
    </w:rPr>
  </w:style>
  <w:style w:type="paragraph" w:styleId="En-ttedetabledesmatires">
    <w:name w:val="TOC Heading"/>
    <w:basedOn w:val="Titre1"/>
    <w:next w:val="Normal"/>
    <w:uiPriority w:val="39"/>
    <w:unhideWhenUsed/>
    <w:qFormat/>
    <w:rsid w:val="00826526"/>
    <w:pPr>
      <w:spacing w:line="276" w:lineRule="auto"/>
      <w:outlineLvl w:val="9"/>
    </w:pPr>
    <w:rPr>
      <w:color w:val="365F91" w:themeColor="accent1" w:themeShade="BF"/>
      <w:sz w:val="28"/>
      <w:szCs w:val="28"/>
      <w:lang w:val="fr-FR" w:eastAsia="en-US"/>
    </w:rPr>
  </w:style>
  <w:style w:type="paragraph" w:styleId="TM2">
    <w:name w:val="toc 2"/>
    <w:basedOn w:val="Normal"/>
    <w:next w:val="Normal"/>
    <w:autoRedefine/>
    <w:uiPriority w:val="39"/>
    <w:unhideWhenUsed/>
    <w:rsid w:val="00826526"/>
    <w:pPr>
      <w:spacing w:after="100"/>
      <w:ind w:left="240"/>
    </w:pPr>
  </w:style>
  <w:style w:type="paragraph" w:styleId="TM1">
    <w:name w:val="toc 1"/>
    <w:basedOn w:val="Normal"/>
    <w:next w:val="Normal"/>
    <w:autoRedefine/>
    <w:uiPriority w:val="39"/>
    <w:unhideWhenUsed/>
    <w:rsid w:val="00826526"/>
    <w:pPr>
      <w:spacing w:after="100"/>
    </w:pPr>
  </w:style>
  <w:style w:type="paragraph" w:styleId="TM3">
    <w:name w:val="toc 3"/>
    <w:basedOn w:val="Normal"/>
    <w:next w:val="Normal"/>
    <w:autoRedefine/>
    <w:uiPriority w:val="39"/>
    <w:unhideWhenUsed/>
    <w:rsid w:val="0028243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55559">
      <w:bodyDiv w:val="1"/>
      <w:marLeft w:val="0"/>
      <w:marRight w:val="0"/>
      <w:marTop w:val="0"/>
      <w:marBottom w:val="0"/>
      <w:divBdr>
        <w:top w:val="none" w:sz="0" w:space="0" w:color="auto"/>
        <w:left w:val="none" w:sz="0" w:space="0" w:color="auto"/>
        <w:bottom w:val="none" w:sz="0" w:space="0" w:color="auto"/>
        <w:right w:val="none" w:sz="0" w:space="0" w:color="auto"/>
      </w:divBdr>
    </w:div>
    <w:div w:id="2063480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r.wikipedia.org/wiki/Assembl%C3%A9e_constituante" TargetMode="External"/><Relationship Id="rId20" Type="http://schemas.openxmlformats.org/officeDocument/2006/relationships/hyperlink" Target="http://www.cetri.be/spip.php?article2334" TargetMode="External"/><Relationship Id="rId21" Type="http://schemas.openxmlformats.org/officeDocument/2006/relationships/hyperlink" Target="http://www.senat.fr/senatsdumonde/chili.html" TargetMode="External"/><Relationship Id="rId22" Type="http://schemas.openxmlformats.org/officeDocument/2006/relationships/hyperlink" Target="http://www.eve.coop/?a=202" TargetMode="External"/><Relationship Id="rId23" Type="http://schemas.openxmlformats.org/officeDocument/2006/relationships/hyperlink" Target="http://www.ccdonline.ca/en/socialpolicy/poverty-citizenship"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fr.wikipedia.org/wiki/R%C3%A9f%C3%A9rendum" TargetMode="External"/><Relationship Id="rId11" Type="http://schemas.openxmlformats.org/officeDocument/2006/relationships/hyperlink" Target="http://www.constitutionnet.org/fr/country/constitutional-history-venezuela" TargetMode="External"/><Relationship Id="rId12" Type="http://schemas.openxmlformats.org/officeDocument/2006/relationships/hyperlink" Target="http://www.presidencia.gov.ec/pdf/discurso_congresoven.pdf" TargetMode="External"/><Relationship Id="rId13" Type="http://schemas.openxmlformats.org/officeDocument/2006/relationships/hyperlink" Target="http://orta.dynalias.org/inprecor" TargetMode="External"/><Relationship Id="rId14" Type="http://schemas.openxmlformats.org/officeDocument/2006/relationships/hyperlink" Target="http://www.contretemps.eu/interventions/equateur-%C2%AB-revolution-citoyenne-%C2%BB-transformation-sociale-radicale" TargetMode="External"/><Relationship Id="rId15" Type="http://schemas.openxmlformats.org/officeDocument/2006/relationships/hyperlink" Target="http://revista.fder.edu.uy/index.php/RD/article/view/8" TargetMode="External"/><Relationship Id="rId16" Type="http://schemas.openxmlformats.org/officeDocument/2006/relationships/hyperlink" Target="http://ddata.over-blog.com/xxxyyy/1/68/76/76/Mes-travaux/La-transition-d-mocratique-au-Chili.pdf" TargetMode="External"/><Relationship Id="rId17" Type="http://schemas.openxmlformats.org/officeDocument/2006/relationships/hyperlink" Target="http://salaprensa.free.fr" TargetMode="External"/><Relationship Id="rId18" Type="http://schemas.openxmlformats.org/officeDocument/2006/relationships/hyperlink" Target="http://www.rebelion.org/noticias/2009/9/91910.pdf" TargetMode="External"/><Relationship Id="rId19" Type="http://schemas.openxmlformats.org/officeDocument/2006/relationships/hyperlink" Target="http://www.rebelion.org/noticia.php?id=9361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ccdonline.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B420A-AD50-8B44-BC1E-EF9FE76C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58</Pages>
  <Words>23547</Words>
  <Characters>129980</Characters>
  <Application>Microsoft Macintosh Word</Application>
  <DocSecurity>0</DocSecurity>
  <Lines>2203</Lines>
  <Paragraphs>390</Paragraphs>
  <ScaleCrop>false</ScaleCrop>
  <HeadingPairs>
    <vt:vector size="2" baseType="variant">
      <vt:variant>
        <vt:lpstr>Titre</vt:lpstr>
      </vt:variant>
      <vt:variant>
        <vt:i4>1</vt:i4>
      </vt:variant>
    </vt:vector>
  </HeadingPairs>
  <TitlesOfParts>
    <vt:vector size="1" baseType="lpstr">
      <vt:lpstr/>
    </vt:vector>
  </TitlesOfParts>
  <Company>UQAM</Company>
  <LinksUpToDate>false</LinksUpToDate>
  <CharactersWithSpaces>153137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Vaillancourt</dc:creator>
  <cp:lastModifiedBy>Yves Vaillancourt</cp:lastModifiedBy>
  <cp:revision>3</cp:revision>
  <cp:lastPrinted>2014-11-30T22:50:00Z</cp:lastPrinted>
  <dcterms:created xsi:type="dcterms:W3CDTF">2014-12-01T01:54:00Z</dcterms:created>
  <dcterms:modified xsi:type="dcterms:W3CDTF">2014-12-01T01:59:00Z</dcterms:modified>
</cp:coreProperties>
</file>